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567—136.3</w:t>
      </w:r>
      <w:r>
        <w:rPr>
          <w:rFonts w:ascii="Times New Roman" w:hAnsi="Times New Roman"/>
          <w:b/>
          <w:i w:val="false"/>
          <w:color w:val="000000"/>
          <w:sz w:val="22"/>
        </w:rPr>
        <w:t xml:space="preserve">(455B) </w:t>
      </w:r>
      <w:r>
        <w:rPr>
          <w:rFonts w:ascii="Times New Roman" w:hAnsi="Times New Roman"/>
          <w:b/>
          <w:i w:val="false"/>
          <w:color w:val="000000"/>
          <w:sz w:val="22"/>
        </w:rPr>
        <w:t xml:space="preserve">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136.3(1)</w:t>
      </w:r>
      <w:r>
        <w:rPr>
          <w:rFonts w:ascii="Times New Roman" w:hAnsi="Times New Roman"/>
          <w:b w:val="false"/>
          <w:i w:val="false"/>
          <w:color w:val="000000"/>
          <w:sz w:val="22"/>
        </w:rPr>
        <w:t> </w:t>
      </w:r>
      <w:r>
        <w:rPr>
          <w:rFonts w:ascii="Times New Roman" w:hAnsi="Times New Roman"/>
          <w:b w:val="false"/>
          <w:i/>
          <w:color w:val="000000"/>
          <w:sz w:val="22"/>
        </w:rPr>
        <w:t xml:space="preserve">Notice of extended reporting. </w:t>
      </w:r>
      <w:r>
        <w:rPr>
          <w:rFonts w:ascii="Times New Roman" w:hAnsi="Times New Roman"/>
          <w:b w:val="false"/>
          <w:i w:val="false"/>
          <w:color w:val="000000"/>
          <w:sz w:val="22"/>
        </w:rPr>
        <w:t xml:space="preserve">In any written final cancellation or nonrenewal notice, an entity that provides insurance pursuant to this chapter shall notify the primary insured party and any additional named insured parties of the six-month extended reporting expiration date provided in </w:t>
      </w:r>
      <w:r>
        <w:rPr>
          <w:rFonts w:ascii="Times New Roman" w:hAnsi="Times New Roman"/>
          <w:b w:val="false"/>
          <w:i w:val="false"/>
          <w:color w:val="000000"/>
          <w:sz w:val="22"/>
        </w:rPr>
        <w:t>40 CFR 280.97</w:t>
      </w:r>
      <w:r>
        <w:rPr>
          <w:rFonts w:ascii="Times New Roman" w:hAnsi="Times New Roman"/>
          <w:b w:val="false"/>
          <w:i w:val="false"/>
          <w:color w:val="000000"/>
          <w:sz w:val="22"/>
        </w:rPr>
        <w:t xml:space="preserve"> (2015).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136.3(2)</w:t>
      </w:r>
      <w:r>
        <w:rPr>
          <w:rFonts w:ascii="Times New Roman" w:hAnsi="Times New Roman"/>
          <w:b w:val="false"/>
          <w:i w:val="false"/>
          <w:color w:val="000000"/>
          <w:sz w:val="22"/>
        </w:rPr>
        <w:t> </w:t>
      </w:r>
      <w:r>
        <w:rPr>
          <w:rFonts w:ascii="Times New Roman" w:hAnsi="Times New Roman"/>
          <w:b w:val="false"/>
          <w:i/>
          <w:color w:val="000000"/>
          <w:sz w:val="22"/>
        </w:rPr>
        <w:t xml:space="preserve">Notice and claim by the department. </w:t>
      </w:r>
      <w:r>
        <w:rPr>
          <w:rFonts w:ascii="Times New Roman" w:hAnsi="Times New Roman"/>
          <w:b w:val="false"/>
          <w:i w:val="false"/>
          <w:color w:val="000000"/>
          <w:sz w:val="22"/>
        </w:rPr>
        <w:t>Notwithstanding any other requirement or limit in 40 CFR Chapter I, Subchapter I, Part 280, Subpart H (2015), timely notice of a release and claim for coverage to the insurer by the department of natural resources shall be deemed sufficient notice on behalf of the insured under the terms, conditions, and exclusions of a policy issued to demonstrate compliance with this chapter. Notice by the department shall not modify or enlarge the terms, conditions, and exclusions of coverage, but is only intended to preserve coverage to which the insured may otherwise be entitled under the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