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567—136.2</w:t>
      </w:r>
      <w:r>
        <w:rPr>
          <w:rFonts w:ascii="Times New Roman" w:hAnsi="Times New Roman"/>
          <w:b/>
          <w:i w:val="false"/>
          <w:color w:val="000000"/>
          <w:sz w:val="22"/>
        </w:rPr>
        <w:t xml:space="preserve">(455B) </w:t>
      </w:r>
      <w:r>
        <w:rPr>
          <w:rFonts w:ascii="Times New Roman" w:hAnsi="Times New Roman"/>
          <w:b/>
          <w:i w:val="false"/>
          <w:color w:val="000000"/>
          <w:sz w:val="22"/>
        </w:rPr>
        <w:t xml:space="preserve">Policy; adoption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commission to ensure consistency, equity, and efficiency in providing financial responsibility for Iowans and the businesses providing services to Iowans that owners and operators of UST systems in this state must comply with the provisions of the federal rules requiring and regulating the financial assurance of UST systems. This rule shall be interpreted in a manner consistent with this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136.2(2)</w:t>
      </w:r>
      <w:r>
        <w:rPr>
          <w:rFonts w:ascii="Times New Roman" w:hAnsi="Times New Roman"/>
          <w:b w:val="false"/>
          <w:i w:val="false"/>
          <w:color w:val="000000"/>
          <w:sz w:val="22"/>
        </w:rPr>
        <w:t> </w:t>
      </w:r>
      <w:r>
        <w:rPr>
          <w:rFonts w:ascii="Times New Roman" w:hAnsi="Times New Roman"/>
          <w:b w:val="false"/>
          <w:i w:val="false"/>
          <w:color w:val="000000"/>
          <w:sz w:val="22"/>
        </w:rPr>
        <w:t>The commission hereby adopts by reference 40 CFR Chapter I, Subchapter I, Part 280, Subpart H (2015),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uses of “Agency,” “Environmental Protection Agency,” “EPA,” and “implementing agency,” and any reference to the regional offices of the Environmental Protection Agency, shall be replaced with “Department of Natural Resources,” except where the context of the rule requires notice or submission to both federal and state entities, in which case the replacement language shall be in addition to the original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uses of “Administrator” and “regional administrator,” and any reference to the designee of either, are replaced with “the director of the Department of Natural Resources or their designee,” except where the context of the rule requires notice or submission to both federal and state entities, in which case the replacement language shall be in addition to the original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 CFR 280.100</w:t>
      </w:r>
      <w:r>
        <w:rPr>
          <w:rFonts w:ascii="Times New Roman" w:hAnsi="Times New Roman"/>
          <w:b w:val="false"/>
          <w:i w:val="false"/>
          <w:color w:val="000000"/>
          <w:sz w:val="22"/>
        </w:rPr>
        <w:t xml:space="preserve"> is not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40 CFR 280.101</w:t>
      </w:r>
      <w:r>
        <w:rPr>
          <w:rFonts w:ascii="Times New Roman" w:hAnsi="Times New Roman"/>
          <w:b w:val="false"/>
          <w:i w:val="false"/>
          <w:color w:val="000000"/>
          <w:sz w:val="22"/>
        </w:rPr>
        <w:t xml:space="preserve"> is not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