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567—136.1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owners and operators of all petroleum underground storage tank (UST) systems, except as otherwise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136.1(2)</w:t>
      </w:r>
      <w:r>
        <w:rPr>
          <w:rFonts w:ascii="Times New Roman" w:hAnsi="Times New Roman"/>
          <w:b w:val="false"/>
          <w:i w:val="false"/>
          <w:color w:val="000000"/>
          <w:sz w:val="22"/>
        </w:rPr>
        <w:t> </w:t>
      </w:r>
      <w:r>
        <w:rPr>
          <w:rFonts w:ascii="Times New Roman" w:hAnsi="Times New Roman"/>
          <w:b w:val="false"/>
          <w:i w:val="false"/>
          <w:color w:val="000000"/>
          <w:sz w:val="22"/>
        </w:rPr>
        <w:t>State and federal government entities whose debts and liabilities are the debts and liabilities of a state or the United States are exempt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chapter do not apply to owners and operators of farm or residential tanks of 1,100 gallons or less capacity installed prior to July 1, 1987, or any UST system described in </w:t>
      </w:r>
      <w:hyperlink r:id="rId4">
        <w:r>
          <w:rPr>
            <w:rStyle w:val="Hyperlink"/>
            <w:rFonts w:ascii="Times New Roman" w:hAnsi="Times New Roman"/>
            <w:b w:val="false"/>
            <w:i w:val="false"/>
            <w:color w:val="000000"/>
            <w:sz w:val="22"/>
          </w:rPr>
          <w:t>567—paragraph 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567—subparagraph 135.1(3)</w:t>
        </w:r>
      </w:hyperlink>
      <w:r>
        <w:rPr>
          <w:rFonts w:ascii="Times New Roman" w:hAnsi="Times New Roman"/>
          <w:b w:val="false"/>
          <w:i/>
          <w:color w:val="000000"/>
          <w:sz w:val="22"/>
        </w:rPr>
        <w:t>“c”</w:t>
      </w:r>
      <w:r>
        <w:rPr>
          <w:rFonts w:ascii="Times New Roman" w:hAnsi="Times New Roman"/>
          <w:b w:val="false"/>
          <w:i w:val="false"/>
          <w:color w:val="000000"/>
          <w:sz w:val="22"/>
        </w:rPr>
        <w:t xml:space="preserve">(1), </w:t>
      </w:r>
      <w:r>
        <w:rPr>
          <w:rFonts w:ascii="Times New Roman" w:hAnsi="Times New Roman"/>
          <w:b w:val="false"/>
          <w:i/>
          <w:color w:val="000000"/>
          <w:sz w:val="22"/>
        </w:rPr>
        <w:t>“c”</w:t>
      </w:r>
      <w:r>
        <w:rPr>
          <w:rFonts w:ascii="Times New Roman" w:hAnsi="Times New Roman"/>
          <w:b w:val="false"/>
          <w:i w:val="false"/>
          <w:color w:val="000000"/>
          <w:sz w:val="22"/>
        </w:rPr>
        <w:t xml:space="preserve">(3) or </w:t>
      </w:r>
      <w:r>
        <w:rPr>
          <w:rFonts w:ascii="Times New Roman" w:hAnsi="Times New Roman"/>
          <w:b w:val="false"/>
          <w:i/>
          <w:color w:val="000000"/>
          <w:sz w:val="22"/>
        </w:rPr>
        <w:t>“c”</w:t>
      </w:r>
      <w:r>
        <w:rPr>
          <w:rFonts w:ascii="Times New Roman" w:hAnsi="Times New Roman"/>
          <w:b w:val="false"/>
          <w:i w:val="false"/>
          <w:color w:val="000000"/>
          <w:sz w:val="22"/>
        </w:rPr>
        <w:t>(4).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1.pdf" Type="http://schemas.openxmlformats.org/officeDocument/2006/relationships/hyperlink" Id="rId4"/>
    <Relationship TargetMode="External" Target="https://www.legis.iowa.gov/docs/iac/rule/567.135.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