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567—135.9</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1 site assessment policy and procedure. </w:t>
      </w:r>
    </w:p>
    <w:p>
      <w:pPr>
        <w:spacing w:before="0" w:after="0"/>
        <w:ind w:left="120"/>
        <w:jc w:val="both"/>
      </w:pPr>
      <w:r>
        <w:rPr>
          <w:rFonts w:ascii="Times New Roman" w:hAnsi="Times New Roman"/>
          <w:b/>
          <w:i w:val="false"/>
          <w:color w:val="000000"/>
          <w:sz w:val="22"/>
        </w:rPr>
        <w:t>135.9(1)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main objective of a Tier 1 site assessment is to reasonably determine the highest concentrations of chemicals of concern that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assessment. </w:t>
      </w:r>
      <w:r>
        <w:rPr>
          <w:rFonts w:ascii="Times New Roman" w:hAnsi="Times New Roman"/>
          <w:b w:val="false"/>
          <w:i w:val="false"/>
          <w:color w:val="000000"/>
          <w:sz w:val="22"/>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that could be followed to reach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group clearance. </w:t>
      </w:r>
      <w:r>
        <w:rPr>
          <w:rFonts w:ascii="Times New Roman" w:hAnsi="Times New Roman"/>
          <w:b w:val="false"/>
          <w:i w:val="false"/>
          <w:color w:val="000000"/>
          <w:sz w:val="22"/>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Site classification. </w:t>
      </w:r>
      <w:r>
        <w:rPr>
          <w:rFonts w:ascii="Times New Roman" w:hAnsi="Times New Roman"/>
          <w:b w:val="false"/>
          <w:i w:val="false"/>
          <w:color w:val="000000"/>
          <w:sz w:val="22"/>
        </w:rPr>
        <w:t>A site can be classified as no action required only after all pathways have met the conditions for pathway clearance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procedure. </w:t>
      </w:r>
      <w:r>
        <w:rPr>
          <w:rFonts w:ascii="Times New Roman" w:hAnsi="Times New Roman"/>
          <w:b w:val="false"/>
          <w:i w:val="false"/>
          <w:color w:val="000000"/>
          <w:sz w:val="22"/>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that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that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sampling procedure. </w:t>
      </w:r>
      <w:r>
        <w:rPr>
          <w:rFonts w:ascii="Times New Roman" w:hAnsi="Times New Roman"/>
          <w:b w:val="false"/>
          <w:i w:val="false"/>
          <w:color w:val="000000"/>
          <w:sz w:val="22"/>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that are converted to monitoring wells.</w:t>
      </w:r>
    </w:p>
    <w:p>
      <w:pPr>
        <w:spacing w:before="60" w:after="0"/>
        <w:ind w:left="120"/>
        <w:jc w:val="center"/>
      </w:pPr>
      <w:r>
        <w:rPr>
          <w:rFonts w:ascii="Times New Roman" w:hAnsi="Times New Roman"/>
          <w:b w:val="false"/>
          <w:i w:val="false"/>
          <w:color w:val="000000"/>
          <w:sz w:val="22"/>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16"/>
        <w:gridCol w:w="1184"/>
        <w:gridCol w:w="1095"/>
        <w:gridCol w:w="915"/>
        <w:gridCol w:w="915"/>
        <w:gridCol w:w="1004"/>
        <w:gridCol w:w="1004"/>
        <w:gridCol w:w="1004"/>
        <w:gridCol w:w="915"/>
      </w:tblGrid>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Media</w:t>
            </w:r>
          </w:p>
        </w:tc>
        <w:tc>
          <w:tcPr>
            <w:tcW w:w="1184"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Exposure Pathway</w:t>
            </w:r>
          </w:p>
        </w:tc>
        <w:tc>
          <w:tcPr>
            <w:tcW w:w="109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Group 2: TEH</w:t>
            </w:r>
          </w:p>
        </w:tc>
      </w:tr>
      <w:tr>
        <w:trPr>
          <w:trHeight w:val="3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Benzene</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Toluene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Ethylbenzene</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Xylenes</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Diesel*</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Waste Oil</w:t>
            </w:r>
          </w:p>
        </w:tc>
      </w:tr>
      <w:tr>
        <w:trPr>
          <w:trHeight w:val="195"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(µg/L)</w:t>
            </w: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Ingestion</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Actual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r>
      <w:tr>
        <w:trPr>
          <w:trHeight w:val="19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Potential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1,540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20,190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2,200,000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10" w:hRule="atLeast"/>
        </w:trPr>
        <w:tc>
          <w:tcPr>
            <w:tcW w:w="0" w:type="auto"/>
            <w:vMerge/>
            <w:tcBorders>
              <w:top w:val="nil"/>
              <w:bottom w:val="single" w:color="000000" w:sz="8"/>
              <w:right w:val="single" w:color="000000" w:sz="8"/>
            </w:tcBorders>
          </w:tcPr>
          <w:p/>
        </w:tc>
        <w:tc>
          <w:tcPr>
            <w:tcW w:w="118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Groundwater to Water Line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Mains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6,250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PVC or Gasketed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3,750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66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PE/PB/AC Mains or Service Lines</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Surface 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290</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73,000</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40,000</w:t>
            </w:r>
          </w:p>
        </w:tc>
      </w:tr>
      <w:tr>
        <w:trPr>
          <w:trHeight w:val="510" w:hRule="atLeast"/>
        </w:trPr>
        <w:tc>
          <w:tcPr>
            <w:tcW w:w="91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Soil (mg/kg)</w:t>
            </w: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Leaching to Groundwater</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0.54</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555" w:hRule="atLeast"/>
        </w:trPr>
        <w:tc>
          <w:tcPr>
            <w:tcW w:w="0" w:type="auto"/>
            <w:vMerge/>
            <w:tcBorders>
              <w:top w:val="nil"/>
              <w:bottom w:val="single" w:color="000000" w:sz="8"/>
              <w:right w:val="single" w:color="000000" w:sz="8"/>
            </w:tcBorders>
          </w:tcPr>
          <w:p/>
        </w:tc>
        <w:tc>
          <w:tcPr>
            <w:tcW w:w="118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Vapor to Enclosed Space</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1.16</w:t>
            </w:r>
          </w:p>
        </w:tc>
        <w:tc>
          <w:tcPr>
            <w:tcW w:w="91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c>
          <w:tcPr>
            <w:tcW w:w="10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47,500</w:t>
            </w:r>
          </w:p>
        </w:tc>
        <w:tc>
          <w:tcPr>
            <w:tcW w:w="91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18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Soil to Water Line</w:t>
            </w:r>
          </w:p>
        </w:tc>
        <w:tc>
          <w:tcPr>
            <w:tcW w:w="109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All</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91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w:t>
            </w:r>
          </w:p>
        </w:tc>
        <w:tc>
          <w:tcPr>
            <w:tcW w:w="10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10,500</w:t>
            </w:r>
          </w:p>
        </w:tc>
        <w:tc>
          <w:tcPr>
            <w:tcW w:w="91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22"/>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22"/>
        </w:rPr>
        <w:t>Diesel*: Standards in the Diesel column apply to all low volatile petroleum hydrocarbons except waste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Tier 1 site assessment. </w:t>
      </w:r>
      <w:r>
        <w:rPr>
          <w:rFonts w:ascii="Times New Roman" w:hAnsi="Times New Roman"/>
          <w:b w:val="false"/>
          <w:i w:val="false"/>
          <w:color w:val="000000"/>
          <w:sz w:val="22"/>
        </w:rPr>
        <w:t xml:space="preserve">Unless owners and operators choose to conduct a Tier 2 assessment, the presence of bedrock requires a Tier 2 assessment as provided in </w:t>
      </w:r>
      <w:hyperlink r:id="rId4">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these rules otherwise require preparation of a Tier 2 site assessment, a Tier 1 site assessment must be completed in response to release confirmation as provided in </w:t>
      </w:r>
      <w:hyperlink r:id="rId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or tank closure investigation under </w:t>
      </w:r>
      <w:hyperlink r:id="rId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other reliable laboratory analysis that confirms the presence of contamination above the action levels in </w:t>
      </w:r>
      <w:hyperlink r:id="rId7">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135.9(3)</w:t>
      </w:r>
      <w:r>
        <w:rPr>
          <w:rFonts w:ascii="Times New Roman" w:hAnsi="Times New Roman"/>
          <w:b w:val="false"/>
          <w:i w:val="false"/>
          <w:color w:val="000000"/>
          <w:sz w:val="22"/>
        </w:rPr>
        <w:t> </w:t>
      </w:r>
      <w:r>
        <w:rPr>
          <w:rFonts w:ascii="Times New Roman" w:hAnsi="Times New Roman"/>
          <w:b w:val="false"/>
          <w:i/>
          <w:color w:val="000000"/>
          <w:sz w:val="22"/>
        </w:rPr>
        <w:t xml:space="preserve">Tier 1 assessment report. </w:t>
      </w:r>
      <w:r>
        <w:rPr>
          <w:rFonts w:ascii="Times New Roman" w:hAnsi="Times New Roman"/>
          <w:b w:val="false"/>
          <w:i w:val="false"/>
          <w:color w:val="000000"/>
          <w:sz w:val="22"/>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8">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tank closure under </w:t>
      </w:r>
      <w:hyperlink r:id="rId9">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completing the initial abatement measures in </w:t>
      </w:r>
      <w:hyperlink r:id="rId10">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This information must include but is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on the nature and estimated quantity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any release investigation and confirmation actions required by </w:t>
      </w:r>
      <w:hyperlink r:id="rId12">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the free product investigations required under </w:t>
      </w:r>
      <w:hyperlink r:id="rId13">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(5), to be used by owners and operators to determine whether free product must be recovered under </w:t>
      </w:r>
      <w:hyperlink r:id="rId14">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recordkeeping comply with the requirements of </w:t>
      </w:r>
      <w:hyperlink r:id="rId1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that all release detection records have been reviewed and report any evidence that a release detection standard has been exceeded as provided in </w:t>
      </w:r>
      <w:hyperlink r:id="rId16">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proof of financial responsibility as required by </w:t>
      </w:r>
      <w:hyperlink r:id="rId1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and the status of coverage for corrective action under any applicable financial assurance mechanism or other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explosive vapor survey of enclosed spaces where there may be the potential for buildup of explosive vapors. The groundwater professional must provide a specific justification for not conducting an explosive vapor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survey of all surface water bodies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survey of all active, abandoned and plugged groundwater wells within 1,000 feet of the source with a description of construction and present 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Accurate and legible site maps showing the location of all groundwater monitoring wells, soil borings, field screening locations and screening values, and monitoring well and soil boring construction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tabulation of all laboratory analytical results for chemicals of concern and copies of the laboratory analytical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Results of hydraulic conductivity testing and description of the procedures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Tier 1 site assessment in accordance with the department’s Tier 1 guidance. The Tier 1 report shall be submitted on forms and in a format prescribed by this guidance.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r>
        <w:rPr>
          <w:rFonts w:ascii="Times New Roman" w:hAnsi="Times New Roman"/>
          <w:b w:val="false"/>
          <w:i w:val="false"/>
          <w:color w:val="000000"/>
          <w:sz w:val="22"/>
        </w:rPr>
        <w:t>The groundwater ingestion pathway addresses the potential for human ingestion of petroleum-regulated substances from existing groundwater wells or potential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567—Chapters </w:t>
      </w:r>
      <w:hyperlink r:id="rId1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may result in no further action clearance if the groundwater is not a protected groundwater source and the pathway is thereby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21">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To apply an effective institutional control, if drinking or non-drinking water wells are present within 1,000 feet of the source, and the applicable Tier 1 level is exceeded, the well(s) for which there is an exceedance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2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w:t>
      </w:r>
      <w:hyperlink r:id="rId25">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r>
        <w:rPr>
          <w:rFonts w:ascii="Times New Roman" w:hAnsi="Times New Roman"/>
          <w:b w:val="false"/>
          <w:i w:val="false"/>
          <w:color w:val="000000"/>
          <w:sz w:val="22"/>
        </w:rPr>
        <w:t>This pathway addresses the potential for soil contamination to leach to groundwater creating a risk of human exposure through the groundwater ingestion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If the groundwater ingestion pathway is complete, the soil leaching to groundwater pathway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There is a single receptor type for this pathway and one applicable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incomplete or the pathway is complete and the maximum concentrations of chemicals of concern do not exceed the Tier 1 levels,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Tier 1 levels are exceeded for this pathway, a Tier 2 assessment must be conducted or alternatively, institutional controls or soil excavation may be undertaken in accordance with </w:t>
      </w:r>
      <w:hyperlink r:id="rId26">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must satisfy the conditions applicable to the groundwater ingestion pathway as provided in </w:t>
      </w:r>
      <w:hyperlink r:id="rId27">
        <w:r>
          <w:rPr>
            <w:rStyle w:val="Hyperlink"/>
            <w:rFonts w:ascii="Times New Roman" w:hAnsi="Times New Roman"/>
            <w:b w:val="false"/>
            <w:i w:val="false"/>
            <w:color w:val="000000"/>
            <w:sz w:val="22"/>
          </w:rPr>
          <w:t>135.9(4)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r>
        <w:rPr>
          <w:rFonts w:ascii="Times New Roman" w:hAnsi="Times New Roman"/>
          <w:b w:val="false"/>
          <w:i w:val="false"/>
          <w:color w:val="000000"/>
          <w:sz w:val="22"/>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28">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The owner or operator must begin immediate response and abatement procedures in accordance with </w:t>
      </w:r>
      <w:hyperlink r:id="rId2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the existence of actual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No further action is required for this pathway, if the maximum groundwater concentrations do not exceed the Tier 1 levels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prohibit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r>
        <w:rPr>
          <w:rFonts w:ascii="Times New Roman" w:hAnsi="Times New Roman"/>
          <w:b w:val="false"/>
          <w:i w:val="false"/>
          <w:color w:val="000000"/>
          <w:sz w:val="22"/>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1">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xml:space="preserve">. The owner or operator must begin immediate response and abatement procedures in accordance with </w:t>
      </w:r>
      <w:hyperlink r:id="rId32">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existing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34">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no further action is required for this pathway. If the Tier 1 level is not exceeded but the soil gas measurement exceeds the target level, further action is required for the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gas samples. </w:t>
      </w:r>
      <w:r>
        <w:rPr>
          <w:rFonts w:ascii="Times New Roman" w:hAnsi="Times New Roman"/>
          <w:b w:val="false"/>
          <w:i w:val="false"/>
          <w:color w:val="000000"/>
          <w:sz w:val="22"/>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eliminate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Soil excavation. </w:t>
      </w:r>
      <w:r>
        <w:rPr>
          <w:rFonts w:ascii="Times New Roman" w:hAnsi="Times New Roman"/>
          <w:b w:val="false"/>
          <w:i w:val="false"/>
          <w:color w:val="000000"/>
          <w:sz w:val="22"/>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causing infusion 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there is an existing water line within 200 feet of the source and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considered complete for a potential receptor if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35">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infusion into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a water line exists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always considered complete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36">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37">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r>
        <w:rPr>
          <w:rFonts w:ascii="Times New Roman" w:hAnsi="Times New Roman"/>
          <w:b w:val="false"/>
          <w:i w:val="false"/>
          <w:color w:val="000000"/>
          <w:sz w:val="22"/>
        </w:rPr>
        <w:t xml:space="preserve"> If none of these options is implemented, a Tier 2 assessment must be conducted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r>
        <w:rPr>
          <w:rFonts w:ascii="Times New Roman" w:hAnsi="Times New Roman"/>
          <w:b w:val="false"/>
          <w:i w:val="false"/>
          <w:color w:val="000000"/>
          <w:sz w:val="22"/>
        </w:rPr>
        <w:t>This pathway addresses the potential for contaminated groundwater to impact surface water bodies creating risks to human health and aquatic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This pathway is considered complete if a surface water body is present within 200 feet of the source. For purposes of Tier 1, surface water bodies include both general use segments and designated use segments as provided in </w:t>
      </w:r>
      <w:hyperlink r:id="rId38">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 xml:space="preserve">The Tier 1 levels for this pathway only apply to designated use segments of surface water bodies as provided in </w:t>
      </w:r>
      <w:hyperlink r:id="rId39">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The point of compliance is the source with the highest concentrations of chemicals of concern. General use segments of surface water bodies as provided in </w:t>
      </w:r>
      <w:hyperlink r:id="rId41">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only subject to the visual inspection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requirements. </w:t>
      </w:r>
      <w:r>
        <w:rPr>
          <w:rFonts w:ascii="Times New Roman" w:hAnsi="Times New Roman"/>
          <w:b w:val="false"/>
          <w:i w:val="false"/>
          <w:color w:val="000000"/>
          <w:sz w:val="22"/>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2">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to confirm it is not a petroleum-regulated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135.9(11)</w:t>
      </w:r>
      <w:r>
        <w:rPr>
          <w:rFonts w:ascii="Times New Roman" w:hAnsi="Times New Roman"/>
          <w:b w:val="false"/>
          <w:i w:val="false"/>
          <w:color w:val="000000"/>
          <w:sz w:val="22"/>
        </w:rPr>
        <w:t> </w:t>
      </w:r>
      <w:r>
        <w:rPr>
          <w:rFonts w:ascii="Times New Roman" w:hAnsi="Times New Roman"/>
          <w:b w:val="false"/>
          <w:i/>
          <w:color w:val="000000"/>
          <w:sz w:val="22"/>
        </w:rPr>
        <w:t xml:space="preserve">Tier 1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w:t>
      </w:r>
      <w:hyperlink r:id="rId43">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within 180 calendar days of release confirmation or another reasonable period of time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shall include the following certification with the Tier 1 site assessment report:</w:t>
      </w:r>
    </w:p>
    <w:p>
      <w:pPr>
        <w:spacing w:before="0" w:after="0"/>
        <w:ind w:left="120"/>
        <w:jc w:val="both"/>
      </w:pPr>
      <w:r>
        <w:rPr>
          <w:rFonts w:ascii="Times New Roman" w:hAnsi="Times New Roman"/>
          <w:b w:val="false"/>
          <w:i w:val="false"/>
          <w:color w:val="000000"/>
          <w:sz w:val="22"/>
        </w:rPr>
        <w:t xml:space="preserve">I, __________________________________________, Groundwater Professional Certification No. ________________, am familiar with all applicable requirements of Iowa Code section </w:t>
      </w:r>
      <w:hyperlink r:id="rId44">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w:t>
      </w:r>
      <w:hyperlink r:id="rId4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the Department of Natural Resources Tier 1 guidance. Based on my knowledge of those documents and information I have prepared and reviewed regarding this site, UST Registration No. ________________, LUST No.___________ I certify that this document is complete and accurate as provided in </w:t>
      </w:r>
      <w:hyperlink r:id="rId46">
        <w:r>
          <w:rPr>
            <w:rStyle w:val="Hyperlink"/>
            <w:rFonts w:ascii="Times New Roman" w:hAnsi="Times New Roman"/>
            <w:b w:val="false"/>
            <w:i w:val="false"/>
            <w:color w:val="000000"/>
            <w:sz w:val="22"/>
          </w:rPr>
          <w:t>567 IAC 135.9(11)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meets the applicable requirements of the Tier 1 site assessment.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7">
        <w:r>
          <w:rPr>
            <w:rStyle w:val="Hyperlink"/>
            <w:rFonts w:ascii="Times New Roman" w:hAnsi="Times New Roman"/>
            <w:b w:val="false"/>
            <w:i w:val="false"/>
            <w:color w:val="000000"/>
            <w:sz w:val="22"/>
          </w:rPr>
          <w:t>135.7(4)</w:t>
        </w:r>
        <w:r>
          <w:rPr>
            <w:rFonts w:ascii="Times New Roman" w:hAnsi="Times New Roman"/>
            <w:b w:val="false"/>
            <w:i/>
            <w:color w:val="000000"/>
            <w:sz w:val="22"/>
          </w:rPr>
          <w:t>“g,”</w:t>
        </w:r>
      </w:hyperlink>
      <w:r>
        <w:rPr>
          <w:rFonts w:ascii="Times New Roman" w:hAnsi="Times New Roman"/>
          <w:b w:val="false"/>
          <w:i w:val="false"/>
          <w:color w:val="000000"/>
          <w:sz w:val="22"/>
        </w:rPr>
        <w:t> </w:t>
      </w:r>
      <w:hyperlink r:id="rId48">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the groundwater professional’s site classification and pathway classification recommendations shall not be considered determinative until the Tier 2 report is submitted for review as provided in </w:t>
      </w:r>
      <w:hyperlink r:id="rId50">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51">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w:t>
      </w:r>
      <w:hyperlink r:id="rId52">
        <w:r>
          <w:rPr>
            <w:rStyle w:val="Hyperlink"/>
            <w:rFonts w:ascii="Times New Roman" w:hAnsi="Times New Roman"/>
            <w:b w:val="false"/>
            <w:i w:val="false"/>
            <w:color w:val="000000"/>
            <w:sz w:val="22"/>
          </w:rPr>
          <w:t>135.9(11)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135.9(12)</w:t>
      </w:r>
      <w:r>
        <w:rPr>
          <w:rFonts w:ascii="Times New Roman" w:hAnsi="Times New Roman"/>
          <w:b w:val="false"/>
          <w:i w:val="false"/>
          <w:color w:val="000000"/>
          <w:sz w:val="22"/>
        </w:rPr>
        <w:t> </w:t>
      </w:r>
      <w:r>
        <w:rPr>
          <w:rFonts w:ascii="Times New Roman" w:hAnsi="Times New Roman"/>
          <w:b w:val="false"/>
          <w:i/>
          <w:color w:val="000000"/>
          <w:sz w:val="22"/>
        </w:rPr>
        <w:t xml:space="preserve">Tier 1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53">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individual pathway or a chemical group meets the requirements for clearance but the site is not entitled to a no action required classification, only those pathways and chemical groups that do not meet the no further action requirements must be evaluated as part of a Tier 2 assessment as provided in </w:t>
      </w:r>
      <w:hyperlink r:id="rId54">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monitoring and confirmation sampling. Compliance monitoring is not an acceptable corrective action at Tier 1. Except for soil gas sampling under </w:t>
      </w:r>
      <w:hyperlink r:id="rId55">
        <w:r>
          <w:rPr>
            <w:rStyle w:val="Hyperlink"/>
            <w:rFonts w:ascii="Times New Roman" w:hAnsi="Times New Roman"/>
            <w:b w:val="false"/>
            <w:i w:val="false"/>
            <w:color w:val="000000"/>
            <w:sz w:val="22"/>
          </w:rPr>
          <w:t>135.9(7)</w:t>
        </w:r>
      </w:hyperlink>
      <w:r>
        <w:rPr>
          <w:rFonts w:ascii="Times New Roman" w:hAnsi="Times New Roman"/>
          <w:b w:val="false"/>
          <w:i w:val="false"/>
          <w:color w:val="000000"/>
          <w:sz w:val="22"/>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Expedited corrective action is permissible in accordance with </w:t>
      </w:r>
      <w:hyperlink r:id="rId56">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8.pdf" Type="http://schemas.openxmlformats.org/officeDocument/2006/relationships/hyperlink" Id="rId4"/>
    <Relationship TargetMode="External" Target="https://www.legis.iowa.gov/docs/iac/rule/567.135.6.pdf" Type="http://schemas.openxmlformats.org/officeDocument/2006/relationships/hyperlink" Id="rId5"/>
    <Relationship TargetMode="External" Target="https://www.legis.iowa.gov/docs/iac/rule/567.135.15.pdf" Type="http://schemas.openxmlformats.org/officeDocument/2006/relationships/hyperlink" Id="rId6"/>
    <Relationship TargetMode="External" Target="https://www.legis.iowa.gov/docs/iac/rule/567.135.14.pdf" Type="http://schemas.openxmlformats.org/officeDocument/2006/relationships/hyperlink" Id="rId7"/>
    <Relationship TargetMode="External" Target="https://www.legis.iowa.gov/docs/iac/rule/567.135.6.pdf" Type="http://schemas.openxmlformats.org/officeDocument/2006/relationships/hyperlink" Id="rId8"/>
    <Relationship TargetMode="External" Target="https://www.legis.iowa.gov/docs/iac/rule/567.135.15.pdf" Type="http://schemas.openxmlformats.org/officeDocument/2006/relationships/hyperlink" Id="rId9"/>
    <Relationship TargetMode="External" Target="https://www.legis.iowa.gov/docs/iac/rule/567.135.7.pdf" Type="http://schemas.openxmlformats.org/officeDocument/2006/relationships/hyperlink" Id="rId10"/>
    <Relationship TargetMode="External" Target="https://www.legis.iowa.gov/docs/iac/rule/567.135.7.pdf" Type="http://schemas.openxmlformats.org/officeDocument/2006/relationships/hyperlink" Id="rId11"/>
    <Relationship TargetMode="External" Target="https://www.legis.iowa.gov/docs/iac/rule/567.135.6.pdf" Type="http://schemas.openxmlformats.org/officeDocument/2006/relationships/hyperlink" Id="rId12"/>
    <Relationship TargetMode="External" Target="https://www.legis.iowa.gov/docs/iac/rule/567.135.7.pdf" Type="http://schemas.openxmlformats.org/officeDocument/2006/relationships/hyperlink" Id="rId13"/>
    <Relationship TargetMode="External" Target="https://www.legis.iowa.gov/docs/iac/rule/567.135.7.pdf" Type="http://schemas.openxmlformats.org/officeDocument/2006/relationships/hyperlink" Id="rId14"/>
    <Relationship TargetMode="External" Target="https://www.legis.iowa.gov/docs/iac/rule/567.135.5.pdf" Type="http://schemas.openxmlformats.org/officeDocument/2006/relationships/hyperlink" Id="rId15"/>
    <Relationship TargetMode="External" Target="https://www.legis.iowa.gov/docs/iac/rule/567.135.5.pdf" Type="http://schemas.openxmlformats.org/officeDocument/2006/relationships/hyperlink" Id="rId16"/>
    <Relationship TargetMode="External" Target="https://www.legis.iowa.gov/docs/iac/rule/567.135.5.pdf" Type="http://schemas.openxmlformats.org/officeDocument/2006/relationships/hyperlink" Id="rId17"/>
    <Relationship TargetMode="External" Target="https://www.legis.iowa.gov/docs/iac/chapter/567.136.pdf" Type="http://schemas.openxmlformats.org/officeDocument/2006/relationships/hyperlink" Id="rId18"/>
    <Relationship TargetMode="External" Target="https://www.legis.iowa.gov/docs/iac/chapter/567.39.pdf" Type="http://schemas.openxmlformats.org/officeDocument/2006/relationships/hyperlink" Id="rId19"/>
    <Relationship TargetMode="External" Target="https://www.legis.iowa.gov/docs/iac/chapter/567.49.pdf" Type="http://schemas.openxmlformats.org/officeDocument/2006/relationships/hyperlink" Id="rId20"/>
    <Relationship TargetMode="External" Target="https://www.legis.iowa.gov/docs/iac/chapter/567.39.pdf" Type="http://schemas.openxmlformats.org/officeDocument/2006/relationships/hyperlink" Id="rId21"/>
    <Relationship TargetMode="External" Target="https://www.legis.iowa.gov/docs/iac/chapter/567.49.pdf" Type="http://schemas.openxmlformats.org/officeDocument/2006/relationships/hyperlink" Id="rId22"/>
    <Relationship TargetMode="External" Target="https://www.legis.iowa.gov/docs/iac/chapter/567.39.pdf" Type="http://schemas.openxmlformats.org/officeDocument/2006/relationships/hyperlink" Id="rId23"/>
    <Relationship TargetMode="External" Target="https://www.legis.iowa.gov/docs/iac/chapter/567.49.pdf" Type="http://schemas.openxmlformats.org/officeDocument/2006/relationships/hyperlink" Id="rId24"/>
    <Relationship TargetMode="External" Target="https://www.legis.iowa.gov/docs/iac/rule/567.135.10.pdf" Type="http://schemas.openxmlformats.org/officeDocument/2006/relationships/hyperlink" Id="rId25"/>
    <Relationship TargetMode="External" Target="https://www.legis.iowa.gov/docs/iac/rule/567.135.9.pdf" Type="http://schemas.openxmlformats.org/officeDocument/2006/relationships/hyperlink" Id="rId26"/>
    <Relationship TargetMode="External" Target="https://www.legis.iowa.gov/docs/iac/rule/567.135.9.pdf" Type="http://schemas.openxmlformats.org/officeDocument/2006/relationships/hyperlink" Id="rId27"/>
    <Relationship TargetMode="External" Target="https://www.legis.iowa.gov/docs/iac/chapter/567.105.pdf" Type="http://schemas.openxmlformats.org/officeDocument/2006/relationships/hyperlink" Id="rId28"/>
    <Relationship TargetMode="External" Target="https://www.legis.iowa.gov/docs/iac/rule/567.135.7.pdf" Type="http://schemas.openxmlformats.org/officeDocument/2006/relationships/hyperlink" Id="rId29"/>
    <Relationship TargetMode="External" Target="https://www.legis.iowa.gov/docs/iac/chapter/567.105.pdf" Type="http://schemas.openxmlformats.org/officeDocument/2006/relationships/hyperlink" Id="rId30"/>
    <Relationship TargetMode="External" Target="https://www.legis.iowa.gov/docs/iac/chapter/567.105.pdf" Type="http://schemas.openxmlformats.org/officeDocument/2006/relationships/hyperlink" Id="rId31"/>
    <Relationship TargetMode="External" Target="https://www.legis.iowa.gov/docs/iac/rule/567.135.7.pdf" Type="http://schemas.openxmlformats.org/officeDocument/2006/relationships/hyperlink" Id="rId32"/>
    <Relationship TargetMode="External" Target="https://www.legis.iowa.gov/docs/iac/chapter/567.105.pdf" Type="http://schemas.openxmlformats.org/officeDocument/2006/relationships/hyperlink" Id="rId33"/>
    <Relationship TargetMode="External" Target="https://www.legis.iowa.gov/docs/iac/rule/567.135.10.pdf" Type="http://schemas.openxmlformats.org/officeDocument/2006/relationships/hyperlink" Id="rId34"/>
    <Relationship TargetMode="External" Target="https://www.legis.iowa.gov/docs/iac/chapter/567.43.pdf" Type="http://schemas.openxmlformats.org/officeDocument/2006/relationships/hyperlink" Id="rId35"/>
    <Relationship TargetMode="External" Target="https://www.legis.iowa.gov/docs/iac/chapter/567.43.pdf" Type="http://schemas.openxmlformats.org/officeDocument/2006/relationships/hyperlink" Id="rId36"/>
    <Relationship TargetMode="External" Target="https://www.legis.iowa.gov/docs/iac/rule/567.135.9.pdf" Type="http://schemas.openxmlformats.org/officeDocument/2006/relationships/hyperlink" Id="rId37"/>
    <Relationship TargetMode="External" Target="https://www.legis.iowa.gov/docs/iac/rule/567.61.3.pdf" Type="http://schemas.openxmlformats.org/officeDocument/2006/relationships/hyperlink" Id="rId38"/>
    <Relationship TargetMode="External" Target="https://www.legis.iowa.gov/docs/iac/rule/567.61.3.pdf" Type="http://schemas.openxmlformats.org/officeDocument/2006/relationships/hyperlink" Id="rId39"/>
    <Relationship TargetMode="External" Target="https://www.legis.iowa.gov/docs/iac/rule/567.61.3.pdf" Type="http://schemas.openxmlformats.org/officeDocument/2006/relationships/hyperlink" Id="rId40"/>
    <Relationship TargetMode="External" Target="https://www.legis.iowa.gov/docs/iac/rule/567.61.3.pdf" Type="http://schemas.openxmlformats.org/officeDocument/2006/relationships/hyperlink" Id="rId41"/>
    <Relationship TargetMode="External" Target="https://www.legis.iowa.gov/docs/iac/rule/567.135.16.pdf" Type="http://schemas.openxmlformats.org/officeDocument/2006/relationships/hyperlink" Id="rId42"/>
    <Relationship TargetMode="External" Target="https://www.legis.iowa.gov/docs/iac/rule/567.135.10.pdf" Type="http://schemas.openxmlformats.org/officeDocument/2006/relationships/hyperlink" Id="rId43"/>
    <Relationship TargetMode="External" Target="https://www.legis.iowa.gov/docs/ico/chapter/455B.474.pdf" Type="http://schemas.openxmlformats.org/officeDocument/2006/relationships/hyperlink" Id="rId44"/>
    <Relationship TargetMode="External" Target="https://www.legis.iowa.gov/docs/iac/chapter/567.135.pdf" Type="http://schemas.openxmlformats.org/officeDocument/2006/relationships/hyperlink" Id="rId45"/>
    <Relationship TargetMode="External" Target="https://www.legis.iowa.gov/docs/iac/rule/567.135.9.pdf" Type="http://schemas.openxmlformats.org/officeDocument/2006/relationships/hyperlink" Id="rId46"/>
    <Relationship TargetMode="External" Target="https://www.legis.iowa.gov/docs/iac/rule/567.135.7.pdf" Type="http://schemas.openxmlformats.org/officeDocument/2006/relationships/hyperlink" Id="rId47"/>
    <Relationship TargetMode="External" Target="https://www.legis.iowa.gov/docs/iac/rule/567.135.8.pdf" Type="http://schemas.openxmlformats.org/officeDocument/2006/relationships/hyperlink" Id="rId48"/>
    <Relationship TargetMode="External" Target="https://www.legis.iowa.gov/docs/iac/rule/567.135.9.pdf" Type="http://schemas.openxmlformats.org/officeDocument/2006/relationships/hyperlink" Id="rId49"/>
    <Relationship TargetMode="External" Target="https://www.legis.iowa.gov/docs/iac/rule/567.135.10.pdf" Type="http://schemas.openxmlformats.org/officeDocument/2006/relationships/hyperlink" Id="rId50"/>
    <Relationship TargetMode="External" Target="https://www.legis.iowa.gov/docs/iac/rule/567.135.12.pdf" Type="http://schemas.openxmlformats.org/officeDocument/2006/relationships/hyperlink" Id="rId51"/>
    <Relationship TargetMode="External" Target="https://www.legis.iowa.gov/docs/iac/rule/567.135.9.pdf" Type="http://schemas.openxmlformats.org/officeDocument/2006/relationships/hyperlink" Id="rId52"/>
    <Relationship TargetMode="External" Target="https://www.legis.iowa.gov/docs/iac/rule/567.135.12.pdf" Type="http://schemas.openxmlformats.org/officeDocument/2006/relationships/hyperlink" Id="rId53"/>
    <Relationship TargetMode="External" Target="https://www.legis.iowa.gov/docs/iac/rule/567.135.10.pdf" Type="http://schemas.openxmlformats.org/officeDocument/2006/relationships/hyperlink" Id="rId54"/>
    <Relationship TargetMode="External" Target="https://www.legis.iowa.gov/docs/iac/rule/567.135.9.pdf" Type="http://schemas.openxmlformats.org/officeDocument/2006/relationships/hyperlink" Id="rId55"/>
    <Relationship TargetMode="External" Target="https://www.legis.iowa.gov/docs/iac/rule/567.135.12.pdf" Type="http://schemas.openxmlformats.org/officeDocument/2006/relationships/hyperlink" Id="rId56"/>
    <Relationship Target="footer.xml" Type="http://schemas.openxmlformats.org/officeDocument/2006/relationships/footer"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