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567—135.7</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response and corrective action for UST systems containing petroleum or hazardous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Owners and operators of petroleum or hazardous substance UST systems must, in response to a confirmed release from the UST system, comply with the requirements of this rule except for USTs excluded under </w:t>
      </w:r>
      <w:hyperlink r:id="rId4">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UST systems subject to RCRA Subtitle C corrective action requirements under Section 3004(u) of the Resource Conservation and Recovery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135.7(2)</w:t>
      </w:r>
      <w:r>
        <w:rPr>
          <w:rFonts w:ascii="Times New Roman" w:hAnsi="Times New Roman"/>
          <w:b w:val="false"/>
          <w:i w:val="false"/>
          <w:color w:val="000000"/>
          <w:sz w:val="22"/>
        </w:rPr>
        <w:t> </w:t>
      </w:r>
      <w:r>
        <w:rPr>
          <w:rFonts w:ascii="Times New Roman" w:hAnsi="Times New Roman"/>
          <w:b w:val="false"/>
          <w:i/>
          <w:color w:val="000000"/>
          <w:sz w:val="22"/>
        </w:rPr>
        <w:t xml:space="preserve">Initial response. </w:t>
      </w:r>
      <w:r>
        <w:rPr>
          <w:rFonts w:ascii="Times New Roman" w:hAnsi="Times New Roman"/>
          <w:b w:val="false"/>
          <w:i w:val="false"/>
          <w:color w:val="000000"/>
          <w:sz w:val="22"/>
        </w:rPr>
        <w:t xml:space="preserve">Upon confirmation of a release in accordance with </w:t>
      </w:r>
      <w:hyperlink r:id="rId5">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after a release from the UST system is identified in any other manner, owners and operators must perform the following initial response actions within 24 hours of a release or within another reasonable period of time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the release to the department (e.g., by telephone or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immediate action to prevent any further release of the regulated substance into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and mitigate fire, explosion, and vapor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135.7(3)</w:t>
      </w:r>
      <w:r>
        <w:rPr>
          <w:rFonts w:ascii="Times New Roman" w:hAnsi="Times New Roman"/>
          <w:b w:val="false"/>
          <w:i w:val="false"/>
          <w:color w:val="000000"/>
          <w:sz w:val="22"/>
        </w:rPr>
        <w:t> </w:t>
      </w:r>
      <w:r>
        <w:rPr>
          <w:rFonts w:ascii="Times New Roman" w:hAnsi="Times New Roman"/>
          <w:b w:val="false"/>
          <w:i/>
          <w:color w:val="000000"/>
          <w:sz w:val="22"/>
        </w:rPr>
        <w:t xml:space="preserve">Initial abatement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owners and operators must perform the following abatement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Remove as much of the regulated substance from the UST system as is necessary to prevent further release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Visually inspect any aboveground releases or exposed below-ground releases and prevent further migration of the released substance into surrounding soils and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 to monitor and mitigate any additional fire and safety hazards posed by vapors or free product that have migrated from the UST excavation zone and entered into subsurface structures (such as sewers or basements);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Remedy hazards posed by contaminated soils that are excavated or exposed as a result of release confirmation, site investigation, abatement, or corrective action activities. If these remedies include treatment or disposal of soils, the owner and operator must comply with applicable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to determine the possible presence of free product, and begin free product removal as soon as practicable and in accordance with </w:t>
      </w:r>
      <w:hyperlink r:id="rId6">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after release confirmation, or within another reasonable period of time determined by the department, owners and operators must submit a report to the department summarizing the initial abatement steps taken under </w:t>
      </w:r>
      <w:hyperlink r:id="rId7">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any resulting information or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135.7(4)</w:t>
      </w:r>
      <w:r>
        <w:rPr>
          <w:rFonts w:ascii="Times New Roman" w:hAnsi="Times New Roman"/>
          <w:b w:val="false"/>
          <w:i w:val="false"/>
          <w:color w:val="000000"/>
          <w:sz w:val="22"/>
        </w:rPr>
        <w:t> </w:t>
      </w:r>
      <w:r>
        <w:rPr>
          <w:rFonts w:ascii="Times New Roman" w:hAnsi="Times New Roman"/>
          <w:b w:val="false"/>
          <w:i/>
          <w:color w:val="000000"/>
          <w:sz w:val="22"/>
        </w:rPr>
        <w:t xml:space="preserve">Free product assessment and removal. </w:t>
      </w:r>
      <w:r>
        <w:rPr>
          <w:rFonts w:ascii="Times New Roman" w:hAnsi="Times New Roman"/>
          <w:b w:val="false"/>
          <w:i w:val="false"/>
          <w:color w:val="000000"/>
          <w:sz w:val="22"/>
        </w:rPr>
        <w:t xml:space="preserve">The free product assessment and removal requirements in this chapter are primarily concerned with a regulated substance that is present as a light nonaqueous phase liquid (LNAPL) in a monitoring well, boring, excavation, or other location at a thickness of more than 0.01 ft. At sites where investigations under </w:t>
      </w:r>
      <w:hyperlink r:id="rId8">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(5) indicate 0.01 ft. or more of free product, owners and operators must immediately initiate a free product recovery assessment and submit a report in accordance with </w:t>
      </w:r>
      <w:hyperlink r:id="rId9">
        <w:r>
          <w:rPr>
            <w:rStyle w:val="Hyperlink"/>
            <w:rFonts w:ascii="Times New Roman" w:hAnsi="Times New Roman"/>
            <w:b w:val="false"/>
            <w:i w:val="false"/>
            <w:color w:val="000000"/>
            <w:sz w:val="22"/>
          </w:rPr>
          <w:t>135.7(4)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initiate interim free product removal while continuing, as necessary, any actions initiated under </w:t>
      </w:r>
      <w:hyperlink r:id="rId10">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xml:space="preserve">, or preparing for actions required under </w:t>
      </w:r>
      <w:hyperlink r:id="rId12">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1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Owners and operators must immediately begin interim free product removal by bailing or by installation and maintenance of passive skimming equipment until an alternative removal method is required by or approved by the department. A certified groundwater professional must initially determine the frequency of bailing and proper installation and maintenance of the skimming equipment based on a determination of the recharge rate of the free product. The department may approve implementation of this interim removal process by persons not certified as groundwater professionals. For approval a certified groundwater professional must submit (1) sufficient documentation establishing that the bailing or skimming system has been adequately designed and tested, and (2) a written plan for regular maintenance, reporting and supervision by a certified groundwater professional. Interim free product recovery reports must be submitted to the department on a monthly basis and on forms provided by the department. In meeting the requirements of this subrule,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free product removal at a frequency determined by the recharge rate of the product and in a manner that minimizes the spread of contamination into previously uncontaminated zones by using recovery and disposal techniques appropriate to the hydrogeologic conditions at the site, and that properly treats, discharges or disposes of recovery by-products in compliance with applicable local, state and federal regulations. Unless approved by the department, free product assessment and recovery activities must be conducted by a certified groundwater professional. Owners and operators must report the results of free product removal activities on forms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abatement of free product migration as a minimum objective for the design of the free product removal system. Free product recovery systems must be designed to remove free product in accordance with </w:t>
      </w:r>
      <w:hyperlink r:id="rId14">
        <w:r>
          <w:rPr>
            <w:rStyle w:val="Hyperlink"/>
            <w:rFonts w:ascii="Times New Roman" w:hAnsi="Times New Roman"/>
            <w:b w:val="false"/>
            <w:i w:val="false"/>
            <w:color w:val="000000"/>
            <w:sz w:val="22"/>
          </w:rPr>
          <w:t>135.7(4)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Handle any flammable products in a safe and competent manner to prevent fires or explosions;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Free product recovery assessment and report. Unless directed to do otherwise by the department, prepare and submit to the department, within 45 days after confirming a release, a free product recovery assessment report and a proposal for subsequent free product removal activities. The free product recovery assessment report and removal proposal must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person(s) responsible for implementing the free product removal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quantity, type and thickness of free product observed or measured in monitoring wells, boreholes, and excavations, the recharge rate in all affected monitoring wells and a detailed description of the procedures used to determine the recharge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justification for the free product removal technology proposed for the site. Base the justification narrative on professional judgment considering the characteristics of the free product plume (i.e., estimated volume, type of product, thickness, extent), an assessment of cost effectiveness based on recovery costs compared to alternative methods, site hydrology and geology, when the release event occurred, testing conducted to verify design assumptions and the potential for petroleum vapors or explosive conditions to occur in enclosed spaces. Proposals for removal systems other than hand bailing or passive skimming systems must be completed and submitted on a format consistent with the department’s corrective action design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free product recovery system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any discharge will take place on site or off site during the recovery operation and where this discharge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treatment system, and the effluent quality expected from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steps that have been or are being taken to obtain necessary permits for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disposition of the recovered free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Free product plume definition and map. The extent of free product must be assessed. If monitoring wells are used to define the free product plume, the number and location of wells and separation distance between the wells used to define the plume must be based on the receptors present and the site hydrology and geology. A minimum of five monitoring wells are required to construct the plume map. The boundary of the plume may be determined by half the distance between wells with free product and wells with no free product. If the groundwater professional can adequately define the plume using other technology as approved by the department, fewer than five wells may be used to define the boundary of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estimated volume of free product present, how the volume was calculated, recoverable volume and estimated recovery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all water lines, regardless of construction material, within the area of free product. Water lines and gaskets that are susceptible to petroleum contamination shall be considered within the area of free product if they are located within the boundary of the free product plume as defined by wells unless it can be demonstrated that no LNAPL exists within ten feet (horizontally or vertically) of the water line and the LNAPL is not migrating nor is likely to migrate. Water lines and gaskets that are susceptible to petroleum contamination within the area of free product must be relocated unless the department has approved an alternate plan of construction or it can be demonstrated that mobile LNAPL is not in contact with water lines or gaskets. See </w:t>
      </w:r>
      <w:hyperlink r:id="rId15">
        <w:r>
          <w:rPr>
            <w:rStyle w:val="Hyperlink"/>
            <w:rFonts w:ascii="Times New Roman" w:hAnsi="Times New Roman"/>
            <w:b w:val="false"/>
            <w:i w:val="false"/>
            <w:color w:val="000000"/>
            <w:sz w:val="22"/>
          </w:rPr>
          <w:t>135.12(3)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free product assessment report; and, if approved, the owner or operator must implement the installation of the approved recovery system within 60 days or other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free product recovery activities. Owners and operators may propose to the department to terminate free product recovery activities when significant amounts of hydrocarbons are not being recovered. The department will consider proposals to terminate free product recovery when the amount of product collected from a monitoring well is equal to or less than 0.1 gallon each month for a year or it is documented that the free product plume has been adequately delineated horizontally and vertically and free product is documented to not be migrating. When free product activities have been terminated based on the recovery rate of equal to or less than 0.1 gallon each month for a year, owners and operators must inspect the monitoring wells monthly for at least a year unless another schedule is approved by the department. The department must be notified and may require that free product recovery activities be reinitiated if during the monthly well inspections it is determined the product thickness in a monitoring well exceeds 0.02 ft. The monthly well inspection records must be kept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prepare and submit to the department within 180 days after confirming a release, a Tier 2 site cleanup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1.pdf" Type="http://schemas.openxmlformats.org/officeDocument/2006/relationships/hyperlink" Id="rId4"/>
    <Relationship TargetMode="External" Target="https://www.legis.iowa.gov/docs/iac/rule/567.135.6.pdf" Type="http://schemas.openxmlformats.org/officeDocument/2006/relationships/hyperlink" Id="rId5"/>
    <Relationship TargetMode="External" Target="https://www.legis.iowa.gov/docs/iac/rule/567.135.7.pdf" Type="http://schemas.openxmlformats.org/officeDocument/2006/relationships/hyperlink" Id="rId6"/>
    <Relationship TargetMode="External" Target="https://www.legis.iowa.gov/docs/iac/rule/567.135.7.pdf" Type="http://schemas.openxmlformats.org/officeDocument/2006/relationships/hyperlink" Id="rId7"/>
    <Relationship TargetMode="External" Target="https://www.legis.iowa.gov/docs/iac/rule/567.135.7.pdf" Type="http://schemas.openxmlformats.org/officeDocument/2006/relationships/hyperlink" Id="rId8"/>
    <Relationship TargetMode="External" Target="https://www.legis.iowa.gov/docs/iac/rule/567.135.7.pdf" Type="http://schemas.openxmlformats.org/officeDocument/2006/relationships/hyperlink" Id="rId9"/>
    <Relationship TargetMode="External" Target="https://www.legis.iowa.gov/docs/iac/rule/567.135.7.pdf" Type="http://schemas.openxmlformats.org/officeDocument/2006/relationships/hyperlink" Id="rId10"/>
    <Relationship TargetMode="External" Target="https://www.legis.iowa.gov/docs/iac/rule/567.135.7.pdf" Type="http://schemas.openxmlformats.org/officeDocument/2006/relationships/hyperlink" Id="rId11"/>
    <Relationship TargetMode="External" Target="https://www.legis.iowa.gov/docs/iac/rule/567.135.8.pdf" Type="http://schemas.openxmlformats.org/officeDocument/2006/relationships/hyperlink" Id="rId12"/>
    <Relationship TargetMode="External" Target="https://www.legis.iowa.gov/docs/iac/rule/567.135.12.pdf" Type="http://schemas.openxmlformats.org/officeDocument/2006/relationships/hyperlink" Id="rId13"/>
    <Relationship TargetMode="External" Target="https://www.legis.iowa.gov/docs/iac/rule/567.135.7.pdf" Type="http://schemas.openxmlformats.org/officeDocument/2006/relationships/hyperlink" Id="rId14"/>
    <Relationship TargetMode="External" Target="https://www.legis.iowa.gov/docs/iac/rule/567.135.12.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