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567—135.6</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reporting, investigation, and confirmation.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135.6(1)</w:t>
      </w:r>
      <w:r>
        <w:rPr>
          <w:rFonts w:ascii="Times New Roman" w:hAnsi="Times New Roman"/>
          <w:b w:val="false"/>
          <w:i w:val="false"/>
          <w:color w:val="000000"/>
          <w:sz w:val="22"/>
        </w:rPr>
        <w:t> </w:t>
      </w:r>
      <w:r>
        <w:rPr>
          <w:rFonts w:ascii="Times New Roman" w:hAnsi="Times New Roman"/>
          <w:b w:val="false"/>
          <w:i/>
          <w:color w:val="000000"/>
          <w:sz w:val="22"/>
        </w:rPr>
        <w:t xml:space="preserve">Reporting of suspected releases. </w:t>
      </w:r>
      <w:r>
        <w:rPr>
          <w:rFonts w:ascii="Times New Roman" w:hAnsi="Times New Roman"/>
          <w:b w:val="false"/>
          <w:i w:val="false"/>
          <w:color w:val="000000"/>
          <w:sz w:val="22"/>
        </w:rPr>
        <w:t xml:space="preserve">Owners and operators of UST systems must report to the department within 24 hours, or within 6 hours in accordance with </w:t>
      </w:r>
      <w:hyperlink r:id="rId4">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if a hazardous condition exists as defined in </w:t>
      </w:r>
      <w:hyperlink r:id="rId5">
        <w:r>
          <w:rPr>
            <w:rStyle w:val="Hyperlink"/>
            <w:rFonts w:ascii="Times New Roman" w:hAnsi="Times New Roman"/>
            <w:b w:val="false"/>
            <w:i w:val="false"/>
            <w:color w:val="000000"/>
            <w:sz w:val="22"/>
          </w:rPr>
          <w:t>567—105.3(455B)</w:t>
        </w:r>
      </w:hyperlink>
      <w:r>
        <w:rPr>
          <w:rFonts w:ascii="Times New Roman" w:hAnsi="Times New Roman"/>
          <w:b w:val="false"/>
          <w:i w:val="false"/>
          <w:color w:val="000000"/>
          <w:sz w:val="22"/>
        </w:rPr>
        <w:t xml:space="preserve">, or another reasonable time period specified by the department, and follow the procedures in </w:t>
      </w:r>
      <w:hyperlink r:id="rId6">
        <w:r>
          <w:rPr>
            <w:rStyle w:val="Hyperlink"/>
            <w:rFonts w:ascii="Times New Roman" w:hAnsi="Times New Roman"/>
            <w:b w:val="false"/>
            <w:i w:val="false"/>
            <w:color w:val="000000"/>
            <w:sz w:val="22"/>
          </w:rPr>
          <w:t>135.8(1)</w:t>
        </w:r>
      </w:hyperlink>
      <w:r>
        <w:rPr>
          <w:rFonts w:ascii="Times New Roman" w:hAnsi="Times New Roman"/>
          <w:b w:val="false"/>
          <w:i w:val="false"/>
          <w:color w:val="000000"/>
          <w:sz w:val="22"/>
        </w:rPr>
        <w:t xml:space="preserve"> for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discovery by owners and operators or others of released regulated substances at the UST site or in the surrounding area (such as the presence of free product or vapors in soils, basements, sewer and utility lines, and nearby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Unusual operating conditions observed by owners and operators (such as the erratic behavior of product dispensing equipment, the sudden loss of product from the UST system, an unexplained presence of water in the tank, or liquid in the interstitial space of secondarily contained systems)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equipment or component is found not to be releasing regulated substances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secondarily contained systems, except as provided for in </w:t>
      </w:r>
      <w:hyperlink r:id="rId7">
        <w:r>
          <w:rPr>
            <w:rStyle w:val="Hyperlink"/>
            <w:rFonts w:ascii="Times New Roman" w:hAnsi="Times New Roman"/>
            <w:b w:val="false"/>
            <w:i w:val="false"/>
            <w:color w:val="000000"/>
            <w:sz w:val="22"/>
          </w:rPr>
          <w:t>135.5(4)</w:t>
        </w:r>
        <w:r>
          <w:rPr>
            <w:rFonts w:ascii="Times New Roman" w:hAnsi="Times New Roman"/>
            <w:b w:val="false"/>
            <w:i/>
            <w:color w:val="000000"/>
            <w:sz w:val="22"/>
          </w:rPr>
          <w:t>“g”</w:t>
        </w:r>
        <w:r>
          <w:rPr>
            <w:rFonts w:ascii="Times New Roman" w:hAnsi="Times New Roman"/>
            <w:b w:val="false"/>
            <w:i w:val="false"/>
            <w:color w:val="000000"/>
            <w:sz w:val="22"/>
          </w:rPr>
          <w:t>(2)</w:t>
        </w:r>
      </w:hyperlink>
      <w:r>
        <w:rPr>
          <w:rFonts w:ascii="Times New Roman" w:hAnsi="Times New Roman"/>
          <w:b w:val="false"/>
          <w:i w:val="false"/>
          <w:color w:val="000000"/>
          <w:sz w:val="22"/>
        </w:rPr>
        <w:t>“4,” any liquid in the interstitial space not used as part of the interstitial monitoring method (for example, brine filled) is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results, including investigation of an alarm, from a release detection method required under </w:t>
      </w:r>
      <w:hyperlink r:id="rId8">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 xml:space="preserve"> that indicate a release may have occurred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monitoring device is found to be defective, and is immediately repaired, recalibrated or replaced, and additional monitoring does not confirm the initial result;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leak is contained in the secondary containment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for in </w:t>
      </w:r>
      <w:hyperlink r:id="rId1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r>
        <w:rPr>
          <w:rFonts w:ascii="Times New Roman" w:hAnsi="Times New Roman"/>
          <w:b w:val="false"/>
          <w:i w:val="false"/>
          <w:color w:val="000000"/>
          <w:sz w:val="22"/>
        </w:rPr>
        <w:t>(2)“4,” any liquid in the interstitial space not used as part of the interstitial monitoring method (for example, brine filled) is immediately removed;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inventory control, a second month of data does not confirm the initial result or the investigation determines no release has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alarm was investigated and determined to be a non-release event (for example, from a power surge or caused by filling the tank during release detection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135.6(2)</w:t>
      </w:r>
      <w:r>
        <w:rPr>
          <w:rFonts w:ascii="Times New Roman" w:hAnsi="Times New Roman"/>
          <w:b w:val="false"/>
          <w:i w:val="false"/>
          <w:color w:val="000000"/>
          <w:sz w:val="22"/>
        </w:rPr>
        <w:t> </w:t>
      </w:r>
      <w:r>
        <w:rPr>
          <w:rFonts w:ascii="Times New Roman" w:hAnsi="Times New Roman"/>
          <w:b w:val="false"/>
          <w:i/>
          <w:color w:val="000000"/>
          <w:sz w:val="22"/>
        </w:rPr>
        <w:t xml:space="preserve">Investigation due to off-site impacts. </w:t>
      </w:r>
      <w:r>
        <w:rPr>
          <w:rFonts w:ascii="Times New Roman" w:hAnsi="Times New Roman"/>
          <w:b w:val="false"/>
          <w:i w:val="false"/>
          <w:color w:val="000000"/>
          <w:sz w:val="22"/>
        </w:rPr>
        <w:t xml:space="preserve">When required by the department, owners and operators of UST systems must follow the procedures in </w:t>
      </w:r>
      <w:hyperlink r:id="rId11">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to determine if the UST system is the source of off-site impacts. These impacts include the discovery of regulated substances (such as the presence of free product or vapors in soils, basements, sewer and utility lines, and nearby surface and drinking waters) that has been observed by the department or brought to its attention by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135.6(3)</w:t>
      </w:r>
      <w:r>
        <w:rPr>
          <w:rFonts w:ascii="Times New Roman" w:hAnsi="Times New Roman"/>
          <w:b w:val="false"/>
          <w:i w:val="false"/>
          <w:color w:val="000000"/>
          <w:sz w:val="22"/>
        </w:rPr>
        <w:t> </w:t>
      </w:r>
      <w:r>
        <w:rPr>
          <w:rFonts w:ascii="Times New Roman" w:hAnsi="Times New Roman"/>
          <w:b w:val="false"/>
          <w:i/>
          <w:color w:val="000000"/>
          <w:sz w:val="22"/>
        </w:rPr>
        <w:t xml:space="preserve">Release investigation and confirmation steps. </w:t>
      </w:r>
      <w:r>
        <w:rPr>
          <w:rFonts w:ascii="Times New Roman" w:hAnsi="Times New Roman"/>
          <w:b w:val="false"/>
          <w:i w:val="false"/>
          <w:color w:val="000000"/>
          <w:sz w:val="22"/>
        </w:rPr>
        <w:t xml:space="preserve">Owners and operators must immediately investigate and confirm all suspected releases of regulated substances requiring reporting under </w:t>
      </w:r>
      <w:hyperlink r:id="rId12">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within seven days, or another reasonable time period specified by the department, using either the following steps or another procedure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test. Owners and operators must conduct tests (according to the requirements for tightness testing in </w:t>
      </w:r>
      <w:hyperlink r:id="rId1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as appropriate, secondary containment testing described in </w:t>
      </w:r>
      <w:hyperlink r:id="rId15">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must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leak exists in that portion of the tank that routinely contains product, or the attached delivery piping;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breach of either wall of the secondary containment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system test confirms a leak into the interstice or a release, owners and operators must repair, replace, upgrade, or close the UST system. In addition, owners and operators must begin corrective action in accordance with </w:t>
      </w:r>
      <w:hyperlink r:id="rId16">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if the test results for the system, tank, or delivery piping indicate a release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Further investigation is not required if the test results for the system, tank, and delivery piping do not indicate a release exists and if environmental contamination is not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conduct a site check as described in </w:t>
      </w:r>
      <w:hyperlink r:id="rId17">
        <w:r>
          <w:rPr>
            <w:rStyle w:val="Hyperlink"/>
            <w:rFonts w:ascii="Times New Roman" w:hAnsi="Times New Roman"/>
            <w:b w:val="false"/>
            <w:i w:val="false"/>
            <w:color w:val="000000"/>
            <w:sz w:val="22"/>
          </w:rPr>
          <w:t>135.6(3)</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test results for the system, tank, and delivery piping do not indicate a release exists but environmental contamination is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check. A certified groundwater professional must conduct a site check in accordance with the tank closure in place procedures as provided in </w:t>
      </w:r>
      <w:hyperlink r:id="rId18">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or they may conduct a Tier 1 assessment in accordance with </w:t>
      </w:r>
      <w:hyperlink r:id="rId19">
        <w:r>
          <w:rPr>
            <w:rStyle w:val="Hyperlink"/>
            <w:rFonts w:ascii="Times New Roman" w:hAnsi="Times New Roman"/>
            <w:b w:val="false"/>
            <w:i w:val="false"/>
            <w:color w:val="000000"/>
            <w:sz w:val="22"/>
          </w:rPr>
          <w:t>135.9(3)</w:t>
        </w:r>
      </w:hyperlink>
      <w:r>
        <w:rPr>
          <w:rFonts w:ascii="Times New Roman" w:hAnsi="Times New Roman"/>
          <w:b w:val="false"/>
          <w:i w:val="false"/>
          <w:color w:val="000000"/>
          <w:sz w:val="22"/>
        </w:rPr>
        <w:t xml:space="preserve">. Under either procedure, the certified groundwater professional must follow the policies and procedures applicable to sites where bedrock is encountered before groundwater as provided in </w:t>
      </w:r>
      <w:hyperlink r:id="rId20">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to avoid creating a preferential pathway for soil or groundwater contamination to reach a bedrock aquifer. The certified groundwater professional must measure for the presence of a release where contamination is most likely to be present at the UST site. The certified groundwater professional must follow the policies and procedures applicable to sites where bedrock is encountered before groundwater as provided in </w:t>
      </w:r>
      <w:hyperlink r:id="rId21">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to avoid creating a preferential pathway for soil or groundwater contamination to reach a bedrock aquifer. In selecting sample types, sample locations, and measurement methods, the certified groundwater professional must consider the nature of the stored substance, the type of initial alarm or cause for suspicion, the type of backfill, the depth of groundwater, and other factors appropriate for identifying the presence and source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test results of the site check indicate action levels in </w:t>
      </w:r>
      <w:hyperlink r:id="rId22">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 xml:space="preserve">(455B) have been exceeded, owners and operators must begin corrective action in accordance with </w:t>
      </w:r>
      <w:hyperlink r:id="rId23">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through </w:t>
      </w:r>
      <w:hyperlink r:id="rId2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test results for the excavation zone or the UST site do not indicate a release has occurred, further investigation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135.6(4)</w:t>
      </w:r>
      <w:r>
        <w:rPr>
          <w:rFonts w:ascii="Times New Roman" w:hAnsi="Times New Roman"/>
          <w:b w:val="false"/>
          <w:i w:val="false"/>
          <w:color w:val="000000"/>
          <w:sz w:val="22"/>
        </w:rPr>
        <w:t> </w:t>
      </w:r>
      <w:r>
        <w:rPr>
          <w:rFonts w:ascii="Times New Roman" w:hAnsi="Times New Roman"/>
          <w:b w:val="false"/>
          <w:i/>
          <w:color w:val="000000"/>
          <w:sz w:val="22"/>
        </w:rPr>
        <w:t xml:space="preserve">Reporting and cleanup of spills and overfills.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Reportable releases. </w:t>
      </w:r>
      <w:r>
        <w:rPr>
          <w:rFonts w:ascii="Times New Roman" w:hAnsi="Times New Roman"/>
          <w:b w:val="false"/>
          <w:i w:val="false"/>
          <w:color w:val="000000"/>
          <w:sz w:val="22"/>
        </w:rPr>
        <w:t xml:space="preserve">Owners and operators of UST systems must contain and immediately clean up a spill, overfill or any aboveground release, and report to the department within 24 hours, or within 6 hours in accordance with </w:t>
      </w:r>
      <w:hyperlink r:id="rId25">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if a hazardous condition exists as defined in </w:t>
      </w:r>
      <w:hyperlink r:id="rId26">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 xml:space="preserve">(455B) and begin corrective action in accordance with </w:t>
      </w:r>
      <w:hyperlink r:id="rId27">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through </w:t>
      </w:r>
      <w:hyperlink r:id="rId2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in the cases identified in </w:t>
      </w:r>
      <w:r>
        <w:rPr>
          <w:rFonts w:ascii="Times New Roman" w:hAnsi="Times New Roman"/>
          <w:b w:val="false"/>
          <w:i w:val="false"/>
          <w:color w:val="000000"/>
          <w:sz w:val="22"/>
        </w:rPr>
        <w:t>40 CFR 280.53(a)</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Nonreportable releases. </w:t>
      </w:r>
      <w:r>
        <w:rPr>
          <w:rFonts w:ascii="Times New Roman" w:hAnsi="Times New Roman"/>
          <w:b w:val="false"/>
          <w:i w:val="false"/>
          <w:color w:val="000000"/>
          <w:sz w:val="22"/>
        </w:rPr>
        <w:t>Owners and operators of UST systems must contain and immediately clean up a spill, overfill or any aboveground release of petroleum that is less than 25 gallons and a spill, overfill or any aboveground release of a hazardous substance that is less than the reportable quantity. If cleanup cannot be accomplished within 24 hours, owners and operators must immediately notify the department.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Any spill or overfill that results in a hazardous condition as defined in </w:t>
      </w:r>
      <w:hyperlink r:id="rId29">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(455B) must be reported within 6 hours. This includes the transporter of the product. A release of a hazardous substance equal to or in excess of its reportable quantity must also be reported immediately (rather than within 24 hours) to the National Response Center under Sections 102 and 103 of the Comprehensive Environmental Response, Compensation, and Liability Act of 1980 and to appropriate state and local authorities under Title III of the Superfund Amendments and Reauthorization Act of 1986.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3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5.pdf" Type="http://schemas.openxmlformats.org/officeDocument/2006/relationships/hyperlink" Id="rId4"/>
    <Relationship TargetMode="External" Target="https://www.legis.iowa.gov/docs/iac/rule/567.105.3.pdf" Type="http://schemas.openxmlformats.org/officeDocument/2006/relationships/hyperlink" Id="rId5"/>
    <Relationship TargetMode="External" Target="https://www.legis.iowa.gov/docs/iac/rule/567.135.8.pdf" Type="http://schemas.openxmlformats.org/officeDocument/2006/relationships/hyperlink" Id="rId6"/>
    <Relationship TargetMode="External" Target="https://www.legis.iowa.gov/docs/iac/rule/567.135.5.pdf" Type="http://schemas.openxmlformats.org/officeDocument/2006/relationships/hyperlink" Id="rId7"/>
    <Relationship TargetMode="External" Target="https://www.legis.iowa.gov/docs/iac/rule/567.135.5.pdf" Type="http://schemas.openxmlformats.org/officeDocument/2006/relationships/hyperlink" Id="rId8"/>
    <Relationship TargetMode="External" Target="https://www.legis.iowa.gov/docs/iac/rule/567.135.5.pdf" Type="http://schemas.openxmlformats.org/officeDocument/2006/relationships/hyperlink" Id="rId9"/>
    <Relationship TargetMode="External" Target="https://www.legis.iowa.gov/docs/iac/rule/567.135.5.pdf" Type="http://schemas.openxmlformats.org/officeDocument/2006/relationships/hyperlink" Id="rId10"/>
    <Relationship TargetMode="External" Target="https://www.legis.iowa.gov/docs/iac/rule/567.135.6.pdf" Type="http://schemas.openxmlformats.org/officeDocument/2006/relationships/hyperlink" Id="rId11"/>
    <Relationship TargetMode="External" Target="https://www.legis.iowa.gov/docs/iac/rule/567.135.6.pdf" Type="http://schemas.openxmlformats.org/officeDocument/2006/relationships/hyperlink" Id="rId12"/>
    <Relationship TargetMode="External" Target="https://www.legis.iowa.gov/docs/iac/rule/567.135.5.pdf" Type="http://schemas.openxmlformats.org/officeDocument/2006/relationships/hyperlink" Id="rId13"/>
    <Relationship TargetMode="External" Target="https://www.legis.iowa.gov/docs/iac/rule/567.135.5.pdf" Type="http://schemas.openxmlformats.org/officeDocument/2006/relationships/hyperlink" Id="rId14"/>
    <Relationship TargetMode="External" Target="https://www.legis.iowa.gov/docs/iac/rule/567.135.4.pdf" Type="http://schemas.openxmlformats.org/officeDocument/2006/relationships/hyperlink" Id="rId15"/>
    <Relationship TargetMode="External" Target="https://www.legis.iowa.gov/docs/iac/rule/567.135.9.pdf" Type="http://schemas.openxmlformats.org/officeDocument/2006/relationships/hyperlink" Id="rId16"/>
    <Relationship TargetMode="External" Target="https://www.legis.iowa.gov/docs/iac/rule/567.135.6.pdf" Type="http://schemas.openxmlformats.org/officeDocument/2006/relationships/hyperlink" Id="rId17"/>
    <Relationship TargetMode="External" Target="https://www.legis.iowa.gov/docs/iac/rule/567.135.15.pdf" Type="http://schemas.openxmlformats.org/officeDocument/2006/relationships/hyperlink" Id="rId18"/>
    <Relationship TargetMode="External" Target="https://www.legis.iowa.gov/docs/iac/rule/567.135.9.pdf" Type="http://schemas.openxmlformats.org/officeDocument/2006/relationships/hyperlink" Id="rId19"/>
    <Relationship TargetMode="External" Target="https://www.legis.iowa.gov/docs/iac/rule/567.135.8.pdf" Type="http://schemas.openxmlformats.org/officeDocument/2006/relationships/hyperlink" Id="rId20"/>
    <Relationship TargetMode="External" Target="https://www.legis.iowa.gov/docs/iac/rule/567.135.8.pdf" Type="http://schemas.openxmlformats.org/officeDocument/2006/relationships/hyperlink" Id="rId21"/>
    <Relationship TargetMode="External" Target="https://www.legis.iowa.gov/docs/iac/rule/567.135.14.pdf" Type="http://schemas.openxmlformats.org/officeDocument/2006/relationships/hyperlink" Id="rId22"/>
    <Relationship TargetMode="External" Target="https://www.legis.iowa.gov/docs/iac/rule/567.135.7.pdf" Type="http://schemas.openxmlformats.org/officeDocument/2006/relationships/hyperlink" Id="rId23"/>
    <Relationship TargetMode="External" Target="https://www.legis.iowa.gov/docs/iac/rule/567.135.12.pdf" Type="http://schemas.openxmlformats.org/officeDocument/2006/relationships/hyperlink" Id="rId24"/>
    <Relationship TargetMode="External" Target="https://www.legis.iowa.gov/docs/iac/chapter/567.105.pdf" Type="http://schemas.openxmlformats.org/officeDocument/2006/relationships/hyperlink" Id="rId25"/>
    <Relationship TargetMode="External" Target="https://www.legis.iowa.gov/docs/iac/rule/567.105.3.pdf" Type="http://schemas.openxmlformats.org/officeDocument/2006/relationships/hyperlink" Id="rId26"/>
    <Relationship TargetMode="External" Target="https://www.legis.iowa.gov/docs/iac/rule/567.135.7.pdf" Type="http://schemas.openxmlformats.org/officeDocument/2006/relationships/hyperlink" Id="rId27"/>
    <Relationship TargetMode="External" Target="https://www.legis.iowa.gov/docs/iac/rule/567.135.12.pdf" Type="http://schemas.openxmlformats.org/officeDocument/2006/relationships/hyperlink" Id="rId28"/>
    <Relationship TargetMode="External" Target="https://www.legis.iowa.gov/docs/iac/rule/567.105.3.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