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operating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ensure that releases due to spilling or overfilling do not occur. The owner and operator must ensure that the volume available in the tank is greater than the volume of product to be transferred to the tank before the transfer is made and that the transfer operation is monitored constantly to prevent overfilling and spilling.</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transfer procedures referenced in 40 CFR 280.30 may be used to comply with </w:t>
      </w:r>
      <w:hyperlink r:id="rId4">
        <w:r>
          <w:rPr>
            <w:rStyle w:val="Hyperlink"/>
            <w:rFonts w:ascii="Times New Roman" w:hAnsi="Times New Roman"/>
            <w:b w:val="false"/>
            <w:i w:val="false"/>
            <w:color w:val="000000"/>
            <w:sz w:val="22"/>
          </w:rPr>
          <w:t>135.4(1)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and operator must report, investigate, and clean up any spills and overfills in accordance with </w:t>
      </w:r>
      <w:hyperlink r:id="rId5">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135.4(2)</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of corrosion protection. </w:t>
      </w:r>
      <w:r>
        <w:rPr>
          <w:rFonts w:ascii="Times New Roman" w:hAnsi="Times New Roman"/>
          <w:b w:val="false"/>
          <w:i w:val="false"/>
          <w:color w:val="000000"/>
          <w:sz w:val="22"/>
        </w:rPr>
        <w:t xml:space="preserve">All owners and operators of metal UST systems with corrosion protection must comply with the following requirements to ensure that releases due to corrosion are prevented until the UST system is permanently closed or undergoes a change in service in accordance with </w:t>
      </w:r>
      <w:hyperlink r:id="rId6">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corrosion protection systems must be operated and maintained to continuously provide corrosion protection to the metal components of that portion of the tank and piping that routinely contain regulated substances and are in contact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UST systems equipped with cathodic protection systems must be inspected for proper operation by a qualified cathodic protection tester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Frequency. All cathodic protection systems must be tested within six months of installation and at least every three years thereafter or according to another reasonable time frame established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criteria. The criteria that are used to determine that cathodic protection is adequate as required by this subrule must be in accordance with a code of practice developed by a nationally recognized association.</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in 40 CFR 280.31(b)(2) may be used to comply with </w:t>
      </w:r>
      <w:hyperlink r:id="rId7">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UST systems with impressed current cathodic protection systems must also be inspected every 60 days to ensure the equipment is running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UST systems using cathodic protection, records of the operation of the cathodic protection must be maintained (in accordance with </w:t>
      </w:r>
      <w:hyperlink r:id="rId8">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to demonstrate compliance with the performance standards in this subrule. These records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the last three inspections required in </w:t>
      </w:r>
      <w:hyperlink r:id="rId9">
        <w:r>
          <w:rPr>
            <w:rStyle w:val="Hyperlink"/>
            <w:rFonts w:ascii="Times New Roman" w:hAnsi="Times New Roman"/>
            <w:b w:val="false"/>
            <w:i w:val="false"/>
            <w:color w:val="000000"/>
            <w:sz w:val="22"/>
          </w:rPr>
          <w:t>135.4(2)</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testing from the last two inspections required in </w:t>
      </w:r>
      <w:hyperlink r:id="rId10">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 impressed current cathodic protection system is failing cathodic protection for the time periods given below, owners and operators must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impressed current cathodic protection systems that have been inoperative for 0 to 90 days after failing a corrosion protection test or after discovering the system is not operating,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Power must be restored to an inoperative corrosion protection system. A damaged or failed corrosion protection system must be repaired by a qualified service technician. A corrosion expert must approve any modifications to the system that are outside of the original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test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impressed current corrosion protection systems that have been inoperative for 90 to 365 days or repaired 90 to 365 days after failing a corrosion protection test,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Power must be restored to an inoperative corrosion protection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repaired, tested and returned to service under the supervision of a corrosion expert.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precision tightness test must be conducted in accordance with </w:t>
      </w:r>
      <w:hyperlink r:id="rId11">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the repair or power being restored.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copy of the test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the new design standards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determined the tank is not suitable for corrosion protection, the tank must be permanently closed in accordance with </w:t>
      </w:r>
      <w:hyperlink r:id="rId13">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impressed current corrosion protection system has been inoperative for more than 365 days or was not repaired for more than 365 days after failing a corrosion protection test, all of the following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Immediately empty and stop using the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internal inspection of the steel tank must be conducted according to a national standard (e.g., API 1631). If the UST fails the internal inspection, the UST owner must permanently close the tank in accordance with </w:t>
      </w:r>
      <w:hyperlink r:id="rId14">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piping and metallic components do not pass a line tightness test or a cathodic protection test and cannot be repaired in accordance with this chapter, the line must be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precision test must be conducted in accordance with </w:t>
      </w:r>
      <w:hyperlink r:id="rId15">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corrosion protection system must be retested within six months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copy of the tests and any repairs must be kept as part of the cathodic protection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impressed current cathodic protection system has been inoperable for more than 365 days and cannot be brought back into immediate use, the tank system must be permanently closed in accordance with </w:t>
      </w:r>
      <w:hyperlink r:id="rId17">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135.4(3)</w:t>
      </w:r>
      <w:r>
        <w:rPr>
          <w:rFonts w:ascii="Times New Roman" w:hAnsi="Times New Roman"/>
          <w:b w:val="false"/>
          <w:i w:val="false"/>
          <w:color w:val="000000"/>
          <w:sz w:val="22"/>
        </w:rPr>
        <w:t> </w:t>
      </w:r>
      <w:r>
        <w:rPr>
          <w:rFonts w:ascii="Times New Roman" w:hAnsi="Times New Roman"/>
          <w:b w:val="false"/>
          <w:i/>
          <w:color w:val="000000"/>
          <w:sz w:val="22"/>
        </w:rPr>
        <w:t xml:space="preserve">Compatibility. </w:t>
      </w:r>
      <w:r>
        <w:rPr>
          <w:rFonts w:ascii="Times New Roman" w:hAnsi="Times New Roman"/>
          <w:b w:val="false"/>
          <w:i w:val="false"/>
          <w:color w:val="000000"/>
          <w:sz w:val="22"/>
        </w:rPr>
        <w:t>Owners and operators must use a UST system made of or lined with materials that are compatible with the substance stored in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notify the department at least 30 days prior to switching to a regulated substance containing greater than 10 percent ethanol, greater than 20 percent biodiesel, or any other regulated substance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have a UST installer certified under </w:t>
      </w:r>
      <w:hyperlink r:id="rId18">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submit the department’s checklist for equipment compatibility for the UST system to the department at least 30 days prior to switching to a regulated substance containing greater than 10 percent ethanol or greater than 20 percent biodiesel, or any other regulated substance identified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retail dealer, as defined in Iowa Code section </w:t>
      </w:r>
      <w:hyperlink r:id="rId19">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must show compliance with the requirements of Iowa Code sections </w:t>
      </w:r>
      <w:hyperlink r:id="rId20">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xml:space="preserve">, if applicable, by submitting and maintaining the applicable reporting and recordkeeping documentation listed in </w:t>
      </w:r>
      <w:hyperlink r:id="rId22">
        <w:r>
          <w:rPr>
            <w:rStyle w:val="Hyperlink"/>
            <w:rFonts w:ascii="Times New Roman" w:hAnsi="Times New Roman"/>
            <w:b w:val="false"/>
            <w:i w:val="false"/>
            <w:color w:val="000000"/>
            <w:sz w:val="22"/>
          </w:rPr>
          <w:t>135.4(5)</w:t>
        </w:r>
      </w:hyperlink>
      <w:r>
        <w:rPr>
          <w:rFonts w:ascii="Times New Roman" w:hAnsi="Times New Roman"/>
          <w:b w:val="false"/>
          <w:i/>
          <w:color w:val="000000"/>
          <w:sz w:val="22"/>
        </w:rPr>
        <w:t>“a”</w:t>
      </w:r>
      <w:r>
        <w:rPr>
          <w:rFonts w:ascii="Times New Roman" w:hAnsi="Times New Roman"/>
          <w:b w:val="false"/>
          <w:i w:val="false"/>
          <w:color w:val="000000"/>
          <w:sz w:val="22"/>
        </w:rPr>
        <w:t xml:space="preserve">(10), </w:t>
      </w:r>
      <w:r>
        <w:rPr>
          <w:rFonts w:ascii="Times New Roman" w:hAnsi="Times New Roman"/>
          <w:b w:val="false"/>
          <w:i/>
          <w:color w:val="000000"/>
          <w:sz w:val="22"/>
        </w:rPr>
        <w:t>“a”</w:t>
      </w:r>
      <w:r>
        <w:rPr>
          <w:rFonts w:ascii="Times New Roman" w:hAnsi="Times New Roman"/>
          <w:b w:val="false"/>
          <w:i w:val="false"/>
          <w:color w:val="000000"/>
          <w:sz w:val="22"/>
        </w:rPr>
        <w:t xml:space="preserve">(11), </w:t>
      </w:r>
      <w:r>
        <w:rPr>
          <w:rFonts w:ascii="Times New Roman" w:hAnsi="Times New Roman"/>
          <w:b w:val="false"/>
          <w:i/>
          <w:color w:val="000000"/>
          <w:sz w:val="22"/>
        </w:rPr>
        <w:t>“b”</w:t>
      </w:r>
      <w:r>
        <w:rPr>
          <w:rFonts w:ascii="Times New Roman" w:hAnsi="Times New Roman"/>
          <w:b w:val="false"/>
          <w:i w:val="false"/>
          <w:color w:val="000000"/>
          <w:sz w:val="22"/>
        </w:rPr>
        <w:t xml:space="preserve">(12), and </w:t>
      </w:r>
      <w:r>
        <w:rPr>
          <w:rFonts w:ascii="Times New Roman" w:hAnsi="Times New Roman"/>
          <w:b w:val="false"/>
          <w:i/>
          <w:color w:val="000000"/>
          <w:sz w:val="22"/>
        </w:rPr>
        <w:t>“b”</w:t>
      </w:r>
      <w:r>
        <w:rPr>
          <w:rFonts w:ascii="Times New Roman" w:hAnsi="Times New Roman"/>
          <w:b w:val="false"/>
          <w:i w:val="false"/>
          <w:color w:val="000000"/>
          <w:sz w:val="22"/>
        </w:rPr>
        <w:t>(13).</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Owners and operators storing alcohol blends may use the code in 40 CFR 280.32(b)(2) to comply with the requirements of </w:t>
      </w:r>
      <w:hyperlink r:id="rId23">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135.4(4)</w:t>
      </w:r>
      <w:r>
        <w:rPr>
          <w:rFonts w:ascii="Times New Roman" w:hAnsi="Times New Roman"/>
          <w:b w:val="false"/>
          <w:i w:val="false"/>
          <w:color w:val="000000"/>
          <w:sz w:val="22"/>
        </w:rPr>
        <w:t> </w:t>
      </w:r>
      <w:r>
        <w:rPr>
          <w:rFonts w:ascii="Times New Roman" w:hAnsi="Times New Roman"/>
          <w:b w:val="false"/>
          <w:i/>
          <w:color w:val="000000"/>
          <w:sz w:val="22"/>
        </w:rPr>
        <w:t xml:space="preserve">Repairs and replacement. </w:t>
      </w:r>
      <w:r>
        <w:rPr>
          <w:rFonts w:ascii="Times New Roman" w:hAnsi="Times New Roman"/>
          <w:b w:val="false"/>
          <w:i w:val="false"/>
          <w:color w:val="000000"/>
          <w:sz w:val="22"/>
        </w:rPr>
        <w:t>Owners and operators of UST systems must ensure that repairs will prevent releases due to structural failure or corrosion as long as the UST system is used to store regulated substances. The repairs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Repairs to UST systems must be properly conducted in accordance with a code of practice developed by a nationally recognized association or an independent testing laboratory.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codes and standards referenced in 40 CFR 280.33(a) may be used to comply with </w:t>
      </w:r>
      <w:hyperlink r:id="rId24">
        <w:r>
          <w:rPr>
            <w:rStyle w:val="Hyperlink"/>
            <w:rFonts w:ascii="Times New Roman" w:hAnsi="Times New Roman"/>
            <w:b w:val="false"/>
            <w:i w:val="false"/>
            <w:color w:val="000000"/>
            <w:sz w:val="22"/>
          </w:rPr>
          <w:t>135.4(4)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Repairs to fiberglass-reinforced plastic tanks may be made by the manufacturer’s authorized representatives or in accordance with a code of practice developed by a nationally recognized association or an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Piping and fitting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Metal pipe sections and fittings that have released product as a result of corrosion or other damage must be replaced. Noncorrodible pipes and fittings may be repaired in accordance with the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50 percent or more of any piping run is removed, the entire piping run must be removed and replaced with secondarily contained piping and interstitial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piping replacements requiring secondary containment shall be constructed with transition or intermediate containment sumps.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Repairs to secondary containment areas of tanks and piping used for interstitial monitoring and to containment sumps used for interstitial monitoring of piping must have the secondary containment tested for tightness according to the manufacturer’s instructions, a code of practice developed by a nationally recognized association or independent testing laboratory, or according to requirements established by the department within 30 days following the date of completion of the repair. All other repairs to tanks and piping must be tightness tested in accordance with </w:t>
      </w:r>
      <w:hyperlink r:id="rId25">
        <w:r>
          <w:rPr>
            <w:rStyle w:val="Hyperlink"/>
            <w:rFonts w:ascii="Times New Roman" w:hAnsi="Times New Roman"/>
            <w:b w:val="false"/>
            <w:i w:val="false"/>
            <w:color w:val="000000"/>
            <w:sz w:val="22"/>
          </w:rPr>
          <w:t>135.5(4)</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135.5(5)</w:t>
        </w:r>
      </w:hyperlink>
      <w:r>
        <w:rPr>
          <w:rFonts w:ascii="Times New Roman" w:hAnsi="Times New Roman"/>
          <w:b w:val="false"/>
          <w:i/>
          <w:color w:val="000000"/>
          <w:sz w:val="22"/>
        </w:rPr>
        <w:t>“b”</w:t>
      </w:r>
      <w:r>
        <w:rPr>
          <w:rFonts w:ascii="Times New Roman" w:hAnsi="Times New Roman"/>
          <w:b w:val="false"/>
          <w:i w:val="false"/>
          <w:color w:val="000000"/>
          <w:sz w:val="22"/>
        </w:rPr>
        <w:t xml:space="preserve"> within 30 days following the date of the completion of the repair except as provided in </w:t>
      </w:r>
      <w:hyperlink r:id="rId27">
        <w:r>
          <w:rPr>
            <w:rStyle w:val="Hyperlink"/>
            <w:rFonts w:ascii="Times New Roman" w:hAnsi="Times New Roman"/>
            <w:b w:val="false"/>
            <w:i w:val="false"/>
            <w:color w:val="000000"/>
            <w:sz w:val="22"/>
          </w:rPr>
          <w:t>135.4(4)</w:t>
        </w:r>
      </w:hyperlink>
      <w:r>
        <w:rPr>
          <w:rFonts w:ascii="Times New Roman" w:hAnsi="Times New Roman"/>
          <w:b w:val="false"/>
          <w:i/>
          <w:color w:val="000000"/>
          <w:sz w:val="22"/>
        </w:rPr>
        <w:t>“d”</w:t>
      </w:r>
      <w:r>
        <w:rPr>
          <w:rFonts w:ascii="Times New Roman" w:hAnsi="Times New Roman"/>
          <w:b w:val="false"/>
          <w:i w:val="false"/>
          <w:color w:val="000000"/>
          <w:sz w:val="22"/>
        </w:rPr>
        <w:t xml:space="preserve">(1) through </w:t>
      </w:r>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repaired tank is internally inspected in accordance with a code of practice developed by a nationally recognized association or an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repaired portion of the UST system is monitored monthly for releases in accordance with a method specified in </w:t>
      </w:r>
      <w:hyperlink r:id="rId28">
        <w:r>
          <w:rPr>
            <w:rStyle w:val="Hyperlink"/>
            <w:rFonts w:ascii="Times New Roman" w:hAnsi="Times New Roman"/>
            <w:b w:val="false"/>
            <w:i w:val="false"/>
            <w:color w:val="000000"/>
            <w:sz w:val="22"/>
          </w:rPr>
          <w:t>135.5(4)</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Another test method is used that is determined by the department to be no less protective of human health and the environment than those listed above.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w:t>
      </w:r>
      <w:hyperlink r:id="rId29">
        <w:r>
          <w:rPr>
            <w:rStyle w:val="Hyperlink"/>
            <w:rFonts w:ascii="Times New Roman" w:hAnsi="Times New Roman"/>
            <w:b w:val="false"/>
            <w:i w:val="false"/>
            <w:color w:val="000000"/>
            <w:sz w:val="22"/>
          </w:rPr>
          <w:t>135.4(4)</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codes of practice referenced in 40 CFR 280.33(d)(3) may be used to comply with </w:t>
      </w:r>
      <w:hyperlink r:id="rId30">
        <w:r>
          <w:rPr>
            <w:rStyle w:val="Hyperlink"/>
            <w:rFonts w:ascii="Times New Roman" w:hAnsi="Times New Roman"/>
            <w:b w:val="false"/>
            <w:i w:val="false"/>
            <w:color w:val="000000"/>
            <w:sz w:val="22"/>
          </w:rPr>
          <w:t>135.4(4)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six months following the repair of any cathodically protected UST system, the cathodic protection system must be tested in accordance with </w:t>
      </w:r>
      <w:hyperlink r:id="rId31">
        <w:r>
          <w:rPr>
            <w:rStyle w:val="Hyperlink"/>
            <w:rFonts w:ascii="Times New Roman" w:hAnsi="Times New Roman"/>
            <w:b w:val="false"/>
            <w:i w:val="false"/>
            <w:color w:val="000000"/>
            <w:sz w:val="22"/>
          </w:rPr>
          <w:t>135.4(2)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to ensure that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following any repair to spill or overfill prevention equipment, the repaired spill or overfill prevention equipment must be tested or inspected, as appropriate, in accordance with </w:t>
      </w:r>
      <w:hyperlink r:id="rId32">
        <w:r>
          <w:rPr>
            <w:rStyle w:val="Hyperlink"/>
            <w:rFonts w:ascii="Times New Roman" w:hAnsi="Times New Roman"/>
            <w:b w:val="false"/>
            <w:i w:val="false"/>
            <w:color w:val="000000"/>
            <w:sz w:val="22"/>
          </w:rPr>
          <w:t>135.4(1)</w:t>
        </w:r>
      </w:hyperlink>
      <w:r>
        <w:rPr>
          <w:rFonts w:ascii="Times New Roman" w:hAnsi="Times New Roman"/>
          <w:b w:val="false"/>
          <w:i w:val="false"/>
          <w:color w:val="000000"/>
          <w:sz w:val="22"/>
        </w:rPr>
        <w:t xml:space="preserve"> to ensure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 owners and operators must maintain records of each repair until the UST system is permanently closed or undergoes a change-in-service pursuant to </w:t>
      </w:r>
      <w:hyperlink r:id="rId33">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135.4(5)</w:t>
      </w:r>
      <w:r>
        <w:rPr>
          <w:rFonts w:ascii="Times New Roman" w:hAnsi="Times New Roman"/>
          <w:b w:val="false"/>
          <w:i w:val="false"/>
          <w:color w:val="000000"/>
          <w:sz w:val="22"/>
        </w:rPr>
        <w:t> </w:t>
      </w:r>
      <w:r>
        <w:rPr>
          <w:rFonts w:ascii="Times New Roman" w:hAnsi="Times New Roman"/>
          <w:b w:val="false"/>
          <w:i/>
          <w:color w:val="000000"/>
          <w:sz w:val="22"/>
        </w:rPr>
        <w:t xml:space="preserve">Reporting and recordkeeping. </w:t>
      </w:r>
      <w:r>
        <w:rPr>
          <w:rFonts w:ascii="Times New Roman" w:hAnsi="Times New Roman"/>
          <w:b w:val="false"/>
          <w:i w:val="false"/>
          <w:color w:val="000000"/>
          <w:sz w:val="22"/>
        </w:rPr>
        <w:t>Owners and operators of UST systems must cooperate fully with inspections, monitoring and testing conducted by the department, as well as requests for document submission, testing, and monitoring by the owner or operator pursuant to Section 9005 of Subtitle I of the Solid Waste Disposal Act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Owners and operators must submit the following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Notification for all UST systems (</w:t>
      </w:r>
      <w:hyperlink r:id="rId34">
        <w:r>
          <w:rPr>
            <w:rStyle w:val="Hyperlink"/>
            <w:rFonts w:ascii="Times New Roman" w:hAnsi="Times New Roman"/>
            <w:b w:val="false"/>
            <w:i w:val="false"/>
            <w:color w:val="000000"/>
            <w:sz w:val="22"/>
          </w:rPr>
          <w:t>135.3(3)</w:t>
        </w:r>
      </w:hyperlink>
      <w:r>
        <w:rPr>
          <w:rFonts w:ascii="Times New Roman" w:hAnsi="Times New Roman"/>
          <w:b w:val="false"/>
          <w:i w:val="false"/>
          <w:color w:val="000000"/>
          <w:sz w:val="22"/>
        </w:rPr>
        <w:t>), which includes certification of installation for new UST systems (</w:t>
      </w:r>
      <w:hyperlink r:id="rId35">
        <w:r>
          <w:rPr>
            <w:rStyle w:val="Hyperlink"/>
            <w:rFonts w:ascii="Times New Roman" w:hAnsi="Times New Roman"/>
            <w:b w:val="false"/>
            <w:i w:val="false"/>
            <w:color w:val="000000"/>
            <w:sz w:val="22"/>
          </w:rPr>
          <w:t>135.3(1)</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of equipment replacement or addition of new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of all releases including suspected releases (</w:t>
      </w:r>
      <w:hyperlink r:id="rId36">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 spills and overfills (</w:t>
      </w:r>
      <w:hyperlink r:id="rId37">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 and confirmed releases (</w:t>
      </w:r>
      <w:hyperlink r:id="rId38">
        <w:r>
          <w:rPr>
            <w:rStyle w:val="Hyperlink"/>
            <w:rFonts w:ascii="Times New Roman" w:hAnsi="Times New Roman"/>
            <w:b w:val="false"/>
            <w:i w:val="false"/>
            <w:color w:val="000000"/>
            <w:sz w:val="22"/>
          </w:rPr>
          <w:t>135.7(2)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Corrective actions planned or taken including initial abatement measures (</w:t>
      </w:r>
      <w:hyperlink r:id="rId39">
        <w:r>
          <w:rPr>
            <w:rStyle w:val="Hyperlink"/>
            <w:rFonts w:ascii="Times New Roman" w:hAnsi="Times New Roman"/>
            <w:b w:val="false"/>
            <w:i w:val="false"/>
            <w:color w:val="000000"/>
            <w:sz w:val="22"/>
          </w:rPr>
          <w:t>135.7(3)</w:t>
        </w:r>
      </w:hyperlink>
      <w:r>
        <w:rPr>
          <w:rFonts w:ascii="Times New Roman" w:hAnsi="Times New Roman"/>
          <w:b w:val="false"/>
          <w:i w:val="false"/>
          <w:color w:val="000000"/>
          <w:sz w:val="22"/>
        </w:rPr>
        <w:t>), initial site characterization (</w:t>
      </w:r>
      <w:hyperlink r:id="rId40">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free product removal (</w:t>
      </w:r>
      <w:hyperlink r:id="rId41">
        <w:r>
          <w:rPr>
            <w:rStyle w:val="Hyperlink"/>
            <w:rFonts w:ascii="Times New Roman" w:hAnsi="Times New Roman"/>
            <w:b w:val="false"/>
            <w:i w:val="false"/>
            <w:color w:val="000000"/>
            <w:sz w:val="22"/>
          </w:rPr>
          <w:t>135.7(4)</w:t>
        </w:r>
      </w:hyperlink>
      <w:r>
        <w:rPr>
          <w:rFonts w:ascii="Times New Roman" w:hAnsi="Times New Roman"/>
          <w:b w:val="false"/>
          <w:i w:val="false"/>
          <w:color w:val="000000"/>
          <w:sz w:val="22"/>
        </w:rPr>
        <w:t>), investigation of soil and groundwater cleanup and corrective action plan (</w:t>
      </w:r>
      <w:hyperlink r:id="rId42">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43">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notification before permanent closure or change-in-service (</w:t>
      </w:r>
      <w:hyperlink r:id="rId44">
        <w:r>
          <w:rPr>
            <w:rStyle w:val="Hyperlink"/>
            <w:rFonts w:ascii="Times New Roman" w:hAnsi="Times New Roman"/>
            <w:b w:val="false"/>
            <w:i w:val="false"/>
            <w:color w:val="000000"/>
            <w:sz w:val="22"/>
          </w:rPr>
          <w:t>135.15(2)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Notification of any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Notification of any change in Class A or Class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Notification of any loss of financial responsibility (i.e.,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Notification prior to UST systems switching to certain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as required in Iowa Code section </w:t>
      </w:r>
      <w:hyperlink r:id="rId45">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as required in Iowa Code section </w:t>
      </w:r>
      <w:hyperlink r:id="rId46">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Owners and operators must maintain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corrosion expert’s analysis of site corrosion potential if corrosion protection equipment is not used (</w:t>
      </w:r>
      <w:hyperlink r:id="rId47">
        <w:r>
          <w:rPr>
            <w:rStyle w:val="Hyperlink"/>
            <w:rFonts w:ascii="Times New Roman" w:hAnsi="Times New Roman"/>
            <w:b w:val="false"/>
            <w:i w:val="false"/>
            <w:color w:val="000000"/>
            <w:sz w:val="22"/>
          </w:rPr>
          <w:t>135.3(1)</w:t>
        </w:r>
      </w:hyperlink>
      <w:r>
        <w:rPr>
          <w:rFonts w:ascii="Times New Roman" w:hAnsi="Times New Roman"/>
          <w:b w:val="false"/>
          <w:i/>
          <w:color w:val="000000"/>
          <w:sz w:val="22"/>
        </w:rPr>
        <w:t>“a”</w:t>
      </w:r>
      <w:r>
        <w:rPr>
          <w:rFonts w:ascii="Times New Roman" w:hAnsi="Times New Roman"/>
          <w:b w:val="false"/>
          <w:i w:val="false"/>
          <w:color w:val="000000"/>
          <w:sz w:val="22"/>
        </w:rPr>
        <w:t xml:space="preserve">(4); </w:t>
      </w:r>
      <w:hyperlink r:id="rId48">
        <w:r>
          <w:rPr>
            <w:rStyle w:val="Hyperlink"/>
            <w:rFonts w:ascii="Times New Roman" w:hAnsi="Times New Roman"/>
            <w:b w:val="false"/>
            <w:i w:val="false"/>
            <w:color w:val="000000"/>
            <w:sz w:val="22"/>
          </w:rPr>
          <w:t>135.3(1)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operation of corrosion protection equipment (</w:t>
      </w:r>
      <w:hyperlink r:id="rId49">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UST system repairs (</w:t>
      </w:r>
      <w:hyperlink r:id="rId50">
        <w:r>
          <w:rPr>
            <w:rStyle w:val="Hyperlink"/>
            <w:rFonts w:ascii="Times New Roman" w:hAnsi="Times New Roman"/>
            <w:b w:val="false"/>
            <w:i w:val="false"/>
            <w:color w:val="000000"/>
            <w:sz w:val="22"/>
          </w:rPr>
          <w:t>135.4(4)</w:t>
        </w:r>
      </w:hyperlink>
      <w:r>
        <w:rPr>
          <w:rFonts w:ascii="Times New Roman" w:hAnsi="Times New Roman"/>
          <w:b w:val="false"/>
          <w:i/>
          <w:color w:val="000000"/>
          <w:sz w:val="22"/>
        </w:rPr>
        <w:t>“h”</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compliance with release detection requirements (</w:t>
      </w:r>
      <w:hyperlink r:id="rId51">
        <w:r>
          <w:rPr>
            <w:rStyle w:val="Hyperlink"/>
            <w:rFonts w:ascii="Times New Roman" w:hAnsi="Times New Roman"/>
            <w:b w:val="false"/>
            <w:i w:val="false"/>
            <w:color w:val="000000"/>
            <w:sz w:val="22"/>
          </w:rPr>
          <w:t>135.5(6)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Results of the site investigation conducted at permanent closure (</w:t>
      </w:r>
      <w:hyperlink r:id="rId52">
        <w:r>
          <w:rPr>
            <w:rStyle w:val="Hyperlink"/>
            <w:rFonts w:ascii="Times New Roman" w:hAnsi="Times New Roman"/>
            <w:b w:val="false"/>
            <w:i w:val="false"/>
            <w:color w:val="000000"/>
            <w:sz w:val="22"/>
          </w:rPr>
          <w:t>135.15(3)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Cathodic protection system testing results (</w:t>
      </w:r>
      <w:hyperlink r:id="rId53">
        <w:r>
          <w:rPr>
            <w:rStyle w:val="Hyperlink"/>
            <w:rFonts w:ascii="Times New Roman" w:hAnsi="Times New Roman"/>
            <w:b w:val="false"/>
            <w:i w:val="false"/>
            <w:color w:val="000000"/>
            <w:sz w:val="22"/>
          </w:rPr>
          <w:t>135.4(2)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Class A, B and C operator training certificates (</w:t>
      </w:r>
      <w:hyperlink r:id="rId54">
        <w:r>
          <w:rPr>
            <w:rStyle w:val="Hyperlink"/>
            <w:rFonts w:ascii="Times New Roman" w:hAnsi="Times New Roman"/>
            <w:b w:val="false"/>
            <w:i w:val="false"/>
            <w:color w:val="000000"/>
            <w:sz w:val="22"/>
          </w:rPr>
          <w:t>135.4(6)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Secondary containment test results (</w:t>
      </w:r>
      <w:hyperlink r:id="rId55">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Documentation of periodic walkthrough inspections (</w:t>
      </w:r>
      <w:hyperlink r:id="rId56">
        <w:r>
          <w:rPr>
            <w:rStyle w:val="Hyperlink"/>
            <w:rFonts w:ascii="Times New Roman" w:hAnsi="Times New Roman"/>
            <w:b w:val="false"/>
            <w:i w:val="false"/>
            <w:color w:val="000000"/>
            <w:sz w:val="22"/>
          </w:rPr>
          <w:t>135.4(13)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of compatibility for UST systems (</w:t>
      </w:r>
      <w:hyperlink r:id="rId57">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of compliance for spill and overfill prevention equipment and containment sumps used for interstitial monitoring of piping (</w:t>
      </w:r>
      <w:hyperlink r:id="rId58">
        <w:r>
          <w:rPr>
            <w:rStyle w:val="Hyperlink"/>
            <w:rFonts w:ascii="Times New Roman" w:hAnsi="Times New Roman"/>
            <w:b w:val="false"/>
            <w:i w:val="false"/>
            <w:color w:val="000000"/>
            <w:sz w:val="22"/>
          </w:rPr>
          <w:t>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as required in Iowa Code section </w:t>
      </w:r>
      <w:hyperlink r:id="rId59">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establishing compatibility as required in Iowa Code section </w:t>
      </w:r>
      <w:hyperlink r:id="rId60">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Availability and maintenance of records. </w:t>
      </w:r>
      <w:r>
        <w:rPr>
          <w:rFonts w:ascii="Times New Roman" w:hAnsi="Times New Roman"/>
          <w:b w:val="false"/>
          <w:i w:val="false"/>
          <w:color w:val="000000"/>
          <w:sz w:val="22"/>
        </w:rPr>
        <w:t>Owners and operators must keep the records required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UST site and immediately available for inspection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readily available alternative site and be provided for inspection to the department within two business days of department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permanent closure records required under </w:t>
      </w:r>
      <w:hyperlink r:id="rId61">
        <w:r>
          <w:rPr>
            <w:rStyle w:val="Hyperlink"/>
            <w:rFonts w:ascii="Times New Roman" w:hAnsi="Times New Roman"/>
            <w:b w:val="false"/>
            <w:i w:val="false"/>
            <w:color w:val="000000"/>
            <w:sz w:val="22"/>
          </w:rPr>
          <w:t>135.15(5)</w:t>
        </w:r>
      </w:hyperlink>
      <w:r>
        <w:rPr>
          <w:rFonts w:ascii="Times New Roman" w:hAnsi="Times New Roman"/>
          <w:b w:val="false"/>
          <w:i w:val="false"/>
          <w:color w:val="000000"/>
          <w:sz w:val="22"/>
        </w:rPr>
        <w:t>, owners and operators are also provided with the additional alternative of mailing closure records to the department if they cannot be kept at the site or an alternative site as indicated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135.4(6)</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required for UST operators.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shall designate Class A, Class B, and Class C operators for each underground storage tank system or facility that has underground storage tanks regulated by the department, except for unstaffed facilities, which may designate only Class A and Class B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may not operate unless operators have been designated and trained as required in this rule or unless otherwise agreed upon by the department based on a finding of good cause for failure to meet this requirement and a plan for designation and training at the earliest practicable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Trained operators must be readily available to respond to suspected or confirmed releases, equipment shut-offs or failures, and other unusual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Class A or Class B operator should be immediately available for telephone consultation with the Class C operator when a facility is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staffed facilities, a Class C operator must be on site whenever the UST facility is in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unstaffed facilities, a Class B operator must be geographically located such that the person can be on site within two hours of being contacted by the public, the owner or operator of the facility, or the department. An unstaffed facility shall have an emergency shutoff device as provided in </w:t>
      </w:r>
      <w:hyperlink r:id="rId62">
        <w:r>
          <w:rPr>
            <w:rStyle w:val="Hyperlink"/>
            <w:rFonts w:ascii="Times New Roman" w:hAnsi="Times New Roman"/>
            <w:b w:val="false"/>
            <w:i w:val="false"/>
            <w:color w:val="000000"/>
            <w:sz w:val="22"/>
          </w:rPr>
          <w:t>135.5(1)</w:t>
        </w:r>
      </w:hyperlink>
      <w:r>
        <w:rPr>
          <w:rFonts w:ascii="Times New Roman" w:hAnsi="Times New Roman"/>
          <w:b w:val="false"/>
          <w:i w:val="false"/>
          <w:color w:val="000000"/>
          <w:sz w:val="22"/>
        </w:rPr>
        <w:t>. An approved emergency procedures sign shall be posted in a conspicuous location and shall read:</w:t>
      </w:r>
    </w:p>
    <w:p>
      <w:pPr>
        <w:spacing w:before="0" w:after="0"/>
        <w:ind w:left="120"/>
        <w:jc w:val="both"/>
      </w:pPr>
      <w:r>
        <w:rPr>
          <w:rFonts w:ascii="Times New Roman" w:hAnsi="Times New Roman"/>
          <w:b w:val="false"/>
          <w:i w:val="false"/>
          <w:color w:val="000000"/>
          <w:sz w:val="22"/>
        </w:rPr>
        <w:t>IN CASE OF FIRE, SPILL OR RELEASE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USE EMERGENCY PUMP SHUTOFF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REPORT THE ACCIDENT!</w:t>
      </w:r>
    </w:p>
    <w:p>
      <w:pPr>
        <w:spacing w:before="0" w:after="0"/>
        <w:ind w:left="120"/>
        <w:jc w:val="both"/>
      </w:pPr>
      <w:r>
        <w:rPr>
          <w:rFonts w:ascii="Times New Roman" w:hAnsi="Times New Roman"/>
          <w:b w:val="false"/>
          <w:i w:val="false"/>
          <w:color w:val="000000"/>
          <w:sz w:val="22"/>
        </w:rPr>
        <w:t>FIRE DEPARTMENT TELEPHONE NO.___________</w:t>
      </w:r>
    </w:p>
    <w:p>
      <w:pPr>
        <w:spacing w:before="0" w:after="0"/>
        <w:ind w:left="120"/>
        <w:jc w:val="both"/>
      </w:pPr>
      <w:r>
        <w:rPr>
          <w:rFonts w:ascii="Times New Roman" w:hAnsi="Times New Roman"/>
          <w:b w:val="false"/>
          <w:i w:val="false"/>
          <w:color w:val="000000"/>
          <w:sz w:val="22"/>
        </w:rPr>
        <w:t>FACILITY ADDRESS &amp; PHONE NUMBER___________</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Designated operators must successfully complete required training under </w:t>
      </w:r>
      <w:hyperlink r:id="rId63">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may be designated for more than one class of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a facility is found to be out of compliance, the department may require that the designated UST system Class A, B, or C operator be retrained under a plan approved by the department. The retraining must occur within 30 days from departmental notice for Class A and Class B operators and within 15 days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135.4(7)</w:t>
      </w:r>
      <w:r>
        <w:rPr>
          <w:rFonts w:ascii="Times New Roman" w:hAnsi="Times New Roman"/>
          <w:b w:val="false"/>
          <w:i w:val="false"/>
          <w:color w:val="000000"/>
          <w:sz w:val="22"/>
        </w:rPr>
        <w:t> </w:t>
      </w:r>
      <w:r>
        <w:rPr>
          <w:rFonts w:ascii="Times New Roman" w:hAnsi="Times New Roman"/>
          <w:b w:val="false"/>
          <w:i/>
          <w:color w:val="000000"/>
          <w:sz w:val="22"/>
        </w:rPr>
        <w:t xml:space="preserve">UST operator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 A operators have the primary responsibility to operate, maintain, and have knowledge of the regulatory requirements for the underground storage tank system and facility. The Class A operator’s responsibilities include managing resources and personnel to achieve and maintain compliance with regulatory requirements under this chapter in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 A operators assist the owner by ensuring that underground storage tank systems are properly installed and expeditiously repaired and inspected; financial responsibility is maintained; and records of system installation, modification, inspection and repair are retained and made available to the department and certified compliance inspectors. The Class A operator shall properly respond to and report emergencies caused by releases or spills from UST systems, ensure that the annual tank management fees are paid, and ensure that Class B and Class C operators are properly trained.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Class A operators shall be familiar with training requirements for each class of operator and may provide required training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Class A operators shall provide site drawings that indicate equipment locations for Class B and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Department-certified installers, installation inspectors, and department-certified compliance inspectors may perform Class A operator duties when employed or contracted by the tank owner to perform these functions so long as they are properly trained and designated as Class A operators pursuant to </w:t>
      </w:r>
      <w:hyperlink r:id="rId64">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 xml:space="preserve"> through </w:t>
      </w:r>
      <w:hyperlink r:id="rId65">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xml:space="preserve">. Class A operators who are also certified compliance inspectors under </w:t>
      </w:r>
      <w:hyperlink r:id="rId66">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may perform in-house facility inspections of the UST system, but shall not perform department-mandated compliance inspections pursuant to </w:t>
      </w:r>
      <w:hyperlink r:id="rId67">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Compliance inspections of a UST facility required by </w:t>
      </w:r>
      <w:hyperlink r:id="rId68">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must be completed by a third-party compliance inspector certified under </w:t>
      </w:r>
      <w:hyperlink r:id="rId69">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ownership or operator status, the new owner or operator is responsible for designating a Class A operator prior to bringing the UST system into operation. The Class A operator is responsible for ensuring that all necessary documentation for change of ownership is completed and submitted to the department and that all compliance requirements of this chapter are satisfied prior to bringing the UST system into operation. The compliance requirements may be provided to the owner or operator using the department’s checklist.</w:t>
      </w:r>
    </w:p>
    <w:p>
      <w:pPr>
        <w:spacing w:before="0" w:after="0"/>
        <w:ind w:left="120"/>
        <w:jc w:val="both"/>
      </w:pPr>
      <w:r>
        <w:rPr>
          <w:rFonts w:ascii="Times New Roman" w:hAnsi="Times New Roman"/>
          <w:b w:val="false"/>
          <w:i w:val="false"/>
          <w:color w:val="000000"/>
          <w:sz w:val="22"/>
        </w:rPr>
        <w:t>If the UST system was temporarily closed, the designated Class A operator must ensure the department’s checklist for returning a UST into service is followed, all compliance requirements of this chapter have been met, and the necessary documentation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there is a change in UST ownership, property ownership or operator status, the designated Class A operator for the current owner and operator is responsible for notifying the department when the change is final and, if possible, prior to the new owner or operator taking possession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Class B operator is knowledgeable of the applicable underground storage tank regulatory requirements and standards and implements them in the field or at the tank facility. A Class B operator oversees and implements the day-to-day aspects of operation, maintenance, and recordkeeping for the underground storage tanks at facilities within four hours of travel time from the Class B operator’s principal place of business. A Class B operator’s responsibilities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Performing mandated system tests at required intervals and making sure spill prevention, overfill control equipment, and corrosion protection equipment are properly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owner by ensuring that release detection equipment is operational, release detection monitoring and tests are performed at the proper intervals, and release detection records are retained and made available to the department and compliance inspectors.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sure recordkeeping and reporting requirements are met and that relevant equipment manufacturers’ or third-party performance standards are available and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Properly responding to, investigating, and reporting emergencies caused by releases or spills from 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Performing UST release detection in accordance with </w:t>
      </w:r>
      <w:hyperlink r:id="rId70">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Monitoring the status of UST release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Meeting spill prevention, overfill prevention, and corrosion protection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suspected and confirmed releases and taking release prevention and response actions according to the requirements of </w:t>
      </w:r>
      <w:hyperlink r:id="rId71">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documenting Class C operators to make sure at least one Class C operator is on site during operating hours. Class B operators shall be familiar with Class C operator responsibilities and may provide training for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Department-certified installers, installation inspectors, and department-certified compliance inspectors may perform Class B operator duties when employed or contracted by the tank owner to perform these functions so long as they are properly trained and designated as Class B operators under </w:t>
      </w:r>
      <w:hyperlink r:id="rId72">
        <w:r>
          <w:rPr>
            <w:rStyle w:val="Hyperlink"/>
            <w:rFonts w:ascii="Times New Roman" w:hAnsi="Times New Roman"/>
            <w:b w:val="false"/>
            <w:i w:val="false"/>
            <w:color w:val="000000"/>
            <w:sz w:val="22"/>
          </w:rPr>
          <w:t>135.4(9)</w:t>
        </w:r>
      </w:hyperlink>
      <w:r>
        <w:rPr>
          <w:rFonts w:ascii="Times New Roman" w:hAnsi="Times New Roman"/>
          <w:b w:val="false"/>
          <w:i w:val="false"/>
          <w:color w:val="000000"/>
          <w:sz w:val="22"/>
        </w:rPr>
        <w:t xml:space="preserve"> through </w:t>
      </w:r>
      <w:hyperlink r:id="rId73">
        <w:r>
          <w:rPr>
            <w:rStyle w:val="Hyperlink"/>
            <w:rFonts w:ascii="Times New Roman" w:hAnsi="Times New Roman"/>
            <w:b w:val="false"/>
            <w:i w:val="false"/>
            <w:color w:val="000000"/>
            <w:sz w:val="22"/>
          </w:rPr>
          <w:t>135.4(11)</w:t>
        </w:r>
      </w:hyperlink>
      <w:r>
        <w:rPr>
          <w:rFonts w:ascii="Times New Roman" w:hAnsi="Times New Roman"/>
          <w:b w:val="false"/>
          <w:i w:val="false"/>
          <w:color w:val="000000"/>
          <w:sz w:val="22"/>
        </w:rPr>
        <w:t xml:space="preserve">. Class B operators who are also certified compliance inspectors under </w:t>
      </w:r>
      <w:hyperlink r:id="rId74">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 xml:space="preserve"> may perform in-house facility inspections of the UST system, but cannot perform department-mandated compliance inspections pursuant to </w:t>
      </w:r>
      <w:hyperlink r:id="rId75">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Compliance inspections of a UST facility pursuant to </w:t>
      </w:r>
      <w:hyperlink r:id="rId76">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 xml:space="preserve">(455B) must be completed by a third-party compliance inspector certified under </w:t>
      </w:r>
      <w:hyperlink r:id="rId77">
        <w:r>
          <w:rPr>
            <w:rStyle w:val="Hyperlink"/>
            <w:rFonts w:ascii="Times New Roman" w:hAnsi="Times New Roman"/>
            <w:b w:val="false"/>
            <w:i w:val="false"/>
            <w:color w:val="000000"/>
            <w:sz w:val="22"/>
          </w:rPr>
          <w:t>567—Chapter 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site undergoing a change in ownership shall designate a Class B operator prior to bringing the UST system into operation. The Class B operator must conduct an inspection using the department’s inspection checklist and submit the completed checklist along with the change of ownership form prior to operation. If a UST system was temporarily closed, the Class B operator shall ensure that the department’s checklist for returning a UST to service is followed and that the necessary documentation is submitted to the department prior to operation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operator. </w:t>
      </w:r>
      <w:r>
        <w:rPr>
          <w:rFonts w:ascii="Times New Roman" w:hAnsi="Times New Roman"/>
          <w:b w:val="false"/>
          <w:i w:val="false"/>
          <w:color w:val="000000"/>
          <w:sz w:val="22"/>
        </w:rPr>
        <w:t>A Class C operator is an on-site employee who typically controls or monitors the dispensing or sale of regulated substances and is the first to respond to events indicating emergency conditions. A Class C operator must be present at the facility at all times during normal operating hours. A Class C operator monitors product transfer operations to ensure that spills and overfills do not occur. The Class C operator must know how to properly respond to spills, overfills and alarms when they do occur. In the event of a spill, overfill or alarm, a Class C operator shall notify the Class A and Class B operators, as well as the department and appropriate local emergency authorities as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basic operating instructions, emergency contact names and telephone numbers, and basic procedures specific to the facility shall be provided to all Class C operators and readily available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may be more than one Class C operator at a storage tank facility, but not all employees of a facility need be Class C operators.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135.4(8)</w:t>
      </w:r>
      <w:r>
        <w:rPr>
          <w:rFonts w:ascii="Times New Roman" w:hAnsi="Times New Roman"/>
          <w:b w:val="false"/>
          <w:i w:val="false"/>
          <w:color w:val="000000"/>
          <w:sz w:val="22"/>
        </w:rPr>
        <w:t> </w:t>
      </w:r>
      <w:r>
        <w:rPr>
          <w:rFonts w:ascii="Times New Roman" w:hAnsi="Times New Roman"/>
          <w:b w:val="false"/>
          <w:i/>
          <w:color w:val="000000"/>
          <w:sz w:val="22"/>
        </w:rPr>
        <w:t xml:space="preserve">UST operator training course requirements. </w:t>
      </w:r>
      <w:r>
        <w:rPr>
          <w:rFonts w:ascii="Times New Roman" w:hAnsi="Times New Roman"/>
          <w:b w:val="false"/>
          <w:i w:val="false"/>
          <w:color w:val="000000"/>
          <w:sz w:val="22"/>
        </w:rPr>
        <w:t>Individuals must attend a department-approved training course covering material designated for each operator class. Individuals must attend every session of the training, take the examination, and attend examination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A operators. </w:t>
      </w:r>
      <w:r>
        <w:rPr>
          <w:rFonts w:ascii="Times New Roman" w:hAnsi="Times New Roman"/>
          <w:b w:val="false"/>
          <w:i w:val="false"/>
          <w:color w:val="000000"/>
          <w:sz w:val="22"/>
        </w:rPr>
        <w:t xml:space="preserve">To be certified as a Class A operator, the applicant must successfully complete a department-approved training course that covers underground storage tank system requirements as outlined in </w:t>
      </w:r>
      <w:hyperlink r:id="rId78">
        <w:r>
          <w:rPr>
            <w:rStyle w:val="Hyperlink"/>
            <w:rFonts w:ascii="Times New Roman" w:hAnsi="Times New Roman"/>
            <w:b w:val="false"/>
            <w:i w:val="false"/>
            <w:color w:val="000000"/>
            <w:sz w:val="22"/>
          </w:rPr>
          <w:t>567—Chapters 134</w:t>
        </w:r>
      </w:hyperlink>
      <w:r>
        <w:rPr>
          <w:rFonts w:ascii="Times New Roman" w:hAnsi="Times New Roman"/>
          <w:b w:val="false"/>
          <w:i w:val="false"/>
          <w:color w:val="000000"/>
          <w:sz w:val="22"/>
        </w:rPr>
        <w:t xml:space="preserve"> through </w:t>
      </w:r>
      <w:hyperlink r:id="rId79">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 The course must also provide a general overview of the department’s UST program, purpose, groundwater protection goals, public safety and administrative requirements. The training must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Components and materials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discussion of the content of PEI/RP900, Recommended Practices for the Inspection and Maintenance of UST Systems, and PEI/RP500, Recommended Practices for Inspection and Maintenance of Motor Fuel Dispensing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and overfill prevention, to include the American Petroleum Institute (API) Publication RP1621, “Recommended Practice for Bulk Liquid Stock Control at Retail Outlets,” and National Fire Protection Association Standard 30, “Flammable and Combustible Liquids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product delivery to the correct tank by using color-symbol codes in the API Standard RP1637, “Using the API Color-Symbol System to Mark Equipment and Vehicles for Product Identification at Service Stations and Distribution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fuel ordering and delivery, including procedures in API RP1007, “Loading and Unloading of MC/DOT 406 Cargo Tank Motor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Release detection methods and related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Corrosion protection and inspection requirements, including the requirement to have a department-certified cathodic protection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Discussion of the benefits of monthly or frequent inspections and content and use of inspection checklists. Training materials for operators shall include the department’s “Iowa UST Operator Inspection Checklist” or a checklist template similar to the department’s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 and content of third-party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How to properly respond to an emergency, including hazardous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Product and equipment compatibility, including the department’s ethanol compatibility guidance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Notification of installation and storage tank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Requirement to use department-certified companies and individuals for UST installation, testing, lining,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Temporary and permanent closure procedures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NESHAP vapor recovery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department may stop fuel delivery and take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Ensuring that annual tank management fees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Ensuring that suspected and confirmed releases are investigated and reported according to </w:t>
      </w:r>
      <w:hyperlink r:id="rId80">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B operators. </w:t>
      </w:r>
      <w:r>
        <w:rPr>
          <w:rFonts w:ascii="Times New Roman" w:hAnsi="Times New Roman"/>
          <w:b w:val="false"/>
          <w:i w:val="false"/>
          <w:color w:val="000000"/>
          <w:sz w:val="22"/>
        </w:rPr>
        <w:t>To be certified as a Class B operator, the individual must successfully complete a department-approved training course that provides in-depth understanding of UST system regulations applicable to this class. Training must also provide a general overview of the department’s UST program, purpose, groundwater protection goals, public safety and administrative requirements. Training shall cover the operation and maintenance requirements set forth in this chapter,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discussion of the content of PEI/RP900, Recommended Practices for the Inspection and Maintenance of UST Systems, and PEI/RP500, Recommended Practices for Inspection and Maintenance of Motor Fuel Dispensing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Components and materials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Spill and overfill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Ensuring product delivery to the correct tank by using color-symbol codes in the API Standard RP1637.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Proper fuel ordering and delivery, including procedures from API RP1007.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Methods of release detection and related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Corrosion protection and related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Requirements of 30-day and annual walkthrough inspections. Training materials for operators shall include the department’s “Iowa UST Operator Inspection Checklist” or a checklist template similar to the department’s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Requirement and content of third-party compliance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Emergency response, reporting and investigating releases.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Product and equipment compatibility, including the department’s ethanol compatibility guidance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Financial responsibility, including detailed explanation of liability, notice and claim procedures, and the six-month window to check for and report a release prior to insurance termination to maintain coverage for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Notification of installation and storage tank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Requirement to use department-certified companies and individuals for UST installation, testing, lining, and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Reporting and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Overview of Class C operator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NESHAP vapor recovery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the department may stop fuel delivery and take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Requirements for facilities that operate unstaffed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C operators. </w:t>
      </w:r>
      <w:r>
        <w:rPr>
          <w:rFonts w:ascii="Times New Roman" w:hAnsi="Times New Roman"/>
          <w:b w:val="false"/>
          <w:i w:val="false"/>
          <w:color w:val="000000"/>
          <w:sz w:val="22"/>
        </w:rPr>
        <w:t>To be certified as a Class C operator, an individual must complete a department-approved training course. A Class A or Class B operator who has completed a department-approved training course may provide the Class C training. Class C operator training must include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overview of the department’s UST program and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protection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UST system overview;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Administrative requirements;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Action to be taken in response to an emergency condition due to a spill or release from a UST system.</w:t>
      </w:r>
    </w:p>
    <w:p>
      <w:pPr>
        <w:spacing w:before="0" w:after="0"/>
        <w:ind w:left="120"/>
        <w:jc w:val="both"/>
      </w:pPr>
      <w:r>
        <w:rPr>
          <w:rFonts w:ascii="Times New Roman" w:hAnsi="Times New Roman"/>
          <w:b w:val="false"/>
          <w:i w:val="false"/>
          <w:color w:val="000000"/>
          <w:sz w:val="22"/>
        </w:rPr>
        <w:t>Training must include written procedures for the Class C operator, including notification instructions necessary in the event of emergency conditions. The written instructions and procedures must be readily available on site. A Class A or Class B operator may provide additional on-site Class C training specific to the operator’s UST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135.4(9)</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review requirement. </w:t>
      </w:r>
      <w:r>
        <w:rPr>
          <w:rFonts w:ascii="Times New Roman" w:hAnsi="Times New Roman"/>
          <w:b w:val="false"/>
          <w:i w:val="false"/>
          <w:color w:val="000000"/>
          <w:sz w:val="22"/>
        </w:rPr>
        <w:t>Class A and Class B operators must complete the department-approved training course and take an examination to verify their understanding and knowledge. The examination may include both written and practical (hands-on) testing activities. The trainer must follow up the examination with a review of missed test questions with the class or individual to ensure understanding of problem areas. Upon successful completion of the training course, the applicant will receive a certificate verifying the applicant’s status as a Class A, Class B, or Class C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The department may waive the training course for operators upon a showing of successful completion of a training course and examination approved by another state or regulatory agency that the department determines are substantially equivalent to the UST requirements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to another UST site. </w:t>
      </w:r>
      <w:r>
        <w:rPr>
          <w:rFonts w:ascii="Times New Roman" w:hAnsi="Times New Roman"/>
          <w:b w:val="false"/>
          <w:i w:val="false"/>
          <w:color w:val="000000"/>
          <w:sz w:val="22"/>
        </w:rPr>
        <w:t xml:space="preserve">Class A and Class B operators may transfer to other UST facilities in Iowa provided the operator is properly designated by the facility owner as a Class A or Class B operator according to </w:t>
      </w:r>
      <w:hyperlink r:id="rId81">
        <w:r>
          <w:rPr>
            <w:rStyle w:val="Hyperlink"/>
            <w:rFonts w:ascii="Times New Roman" w:hAnsi="Times New Roman"/>
            <w:b w:val="false"/>
            <w:i w:val="false"/>
            <w:color w:val="000000"/>
            <w:sz w:val="22"/>
          </w:rPr>
          <w:t>567—subrule 135.4(11)</w:t>
        </w:r>
      </w:hyperlink>
      <w:r>
        <w:rPr>
          <w:rFonts w:ascii="Times New Roman" w:hAnsi="Times New Roman"/>
          <w:b w:val="false"/>
          <w:i w:val="false"/>
          <w:color w:val="000000"/>
          <w:sz w:val="22"/>
        </w:rPr>
        <w:t>. Class A and Class B operators transferring from other states shall seek prior approval of training qualifications, unless the department has preapproved the out-of-state program as substantially equivalent to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135.4(10)</w:t>
      </w:r>
      <w:r>
        <w:rPr>
          <w:rFonts w:ascii="Times New Roman" w:hAnsi="Times New Roman"/>
          <w:b w:val="false"/>
          <w:i w:val="false"/>
          <w:color w:val="000000"/>
          <w:sz w:val="22"/>
        </w:rPr>
        <w:t> </w:t>
      </w:r>
      <w:r>
        <w:rPr>
          <w:rFonts w:ascii="Times New Roman" w:hAnsi="Times New Roman"/>
          <w:b w:val="false"/>
          <w:i/>
          <w:color w:val="000000"/>
          <w:sz w:val="22"/>
        </w:rPr>
        <w:t xml:space="preserve">Timing of UST operator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shall ensure that Class A, Class B, and Class C operators are trained by approved training providers before an operator assumes duties of that class of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Class A or Class B operator is replaced, a new operator must be trained prior to assuming duties for that class of operator. A copy of the certificate of training must be submitted to the department within 30 days of assuming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C operators must be trained before assuming the duties of a Class C operator. Written basic operating instructions, emergency contact names and telephone numbers, and basic procedures specific to the facility shall be provided to all Class C operators and readily available on site. A Class C operator may be briefed on these procedures concurrent with annual safety training required under Occupational Safety and Health Administration regulations, </w:t>
      </w:r>
      <w:r>
        <w:rPr>
          <w:rFonts w:ascii="Times New Roman" w:hAnsi="Times New Roman"/>
          <w:b w:val="false"/>
          <w:i w:val="false"/>
          <w:color w:val="000000"/>
          <w:sz w:val="22"/>
        </w:rPr>
        <w:t>29 CFR, Part 1910</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135.4(11)</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operator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underground storage tank facility shall maintain a list of designated operators. The list shall be made available to the department in accordance with </w:t>
      </w:r>
      <w:hyperlink r:id="rId82">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The list shall represent the current Class A, Class B and Class C operators for the UST facility and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each operator and the operator’s class(es); contact information for Class A and Class B operators; the date each operator successfully completed initial training and refresher training, if any; the name of the company providing the training; and the name of the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all classes of operators, the site(s) for which an operator is responsible if more than one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certificates of training for Class A and Class B operators shall be on file and readily available for inspection in accordance with </w:t>
      </w:r>
      <w:hyperlink r:id="rId83">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Records verifying completion of training or retraining of Class A, Class B, and Class C operators must identify name of trainee, date trained, operator training class completed, and list the name of the trainer or examiner and the training company name, address, and telephone number. Owners and operators must maintain these records for as long as Class A, Class B, and Class C operators are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certificates of training for Class B and Class C operators shall be available at each facility for which the operator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135.4(12)</w:t>
      </w:r>
      <w:r>
        <w:rPr>
          <w:rFonts w:ascii="Times New Roman" w:hAnsi="Times New Roman"/>
          <w:b w:val="false"/>
          <w:i w:val="false"/>
          <w:color w:val="000000"/>
          <w:sz w:val="22"/>
        </w:rPr>
        <w:t> </w:t>
      </w:r>
      <w:r>
        <w:rPr>
          <w:rFonts w:ascii="Times New Roman" w:hAnsi="Times New Roman"/>
          <w:b w:val="false"/>
          <w:i/>
          <w:color w:val="000000"/>
          <w:sz w:val="22"/>
        </w:rPr>
        <w:t xml:space="preserve">Periodic testing of spill prevention equipment and containment sumps used for interstitial monitoring of piping and periodic inspection of overfill prevention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UST systems with spill and overfill prevention equipment and containment sumps used for interstitial monitoring of piping must meet these requirements to ensure the equipment is operating properly and will prevent releases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(such as a catchment basin, spill bucket, or other spill containment device) and containment sumps used for interstitial monitoring of piping must prevent releases to the environment by meeting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equipment is double walled and the integrity of both walls is periodically monitored at a frequency of not less than the frequency of the walkthrough inspections described in </w:t>
      </w:r>
      <w:hyperlink r:id="rId84">
        <w:r>
          <w:rPr>
            <w:rStyle w:val="Hyperlink"/>
            <w:rFonts w:ascii="Times New Roman" w:hAnsi="Times New Roman"/>
            <w:b w:val="false"/>
            <w:i w:val="false"/>
            <w:color w:val="000000"/>
            <w:sz w:val="22"/>
          </w:rPr>
          <w:t>135.4(13)</w:t>
        </w:r>
      </w:hyperlink>
      <w:r>
        <w:rPr>
          <w:rFonts w:ascii="Times New Roman" w:hAnsi="Times New Roman"/>
          <w:b w:val="false"/>
          <w:i w:val="false"/>
          <w:color w:val="000000"/>
          <w:sz w:val="22"/>
        </w:rPr>
        <w:t xml:space="preserve">. If owners and operators discontinue periodic monitoring of this equipment, they must begin meeting </w:t>
      </w:r>
      <w:hyperlink r:id="rId85">
        <w:r>
          <w:rPr>
            <w:rStyle w:val="Hyperlink"/>
            <w:rFonts w:ascii="Times New Roman" w:hAnsi="Times New Roman"/>
            <w:b w:val="false"/>
            <w:i w:val="false"/>
            <w:color w:val="000000"/>
            <w:sz w:val="22"/>
          </w:rPr>
          <w:t>135.4(12)</w:t>
        </w:r>
      </w:hyperlink>
      <w:r>
        <w:rPr>
          <w:rFonts w:ascii="Times New Roman" w:hAnsi="Times New Roman"/>
          <w:b w:val="false"/>
          <w:i/>
          <w:color w:val="000000"/>
          <w:sz w:val="22"/>
        </w:rPr>
        <w:t>“a”</w:t>
      </w:r>
      <w:r>
        <w:rPr>
          <w:rFonts w:ascii="Times New Roman" w:hAnsi="Times New Roman"/>
          <w:b w:val="false"/>
          <w:i w:val="false"/>
          <w:color w:val="000000"/>
          <w:sz w:val="22"/>
        </w:rPr>
        <w:t>(1)“2” and conduct a test within 30 days of discontinuing periodic monitoring of this equipment;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spill prevention equipment and containment sumps used for interstitial monitoring of piping are tested at least once every three years to ensure the equipment is liquid tight by using vacuum, pressure, or liquid testing in accordance with one of the following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Requirements developed by the manufacturer (Note: Owners and operators may use this option only if the manufacturer has developed requirements);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Requirements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Overfill prevention equipment must be inspected at least once every three years. At a minimum, the inspection must ensure that overfill prevention equipment is set to activate at the correct level specified in </w:t>
      </w:r>
      <w:hyperlink r:id="rId86">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will activate when regulated substance reaches that level. Inspections must be conducted in accordance with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Requirements developed by the manufacturer (Note: Owners and operators may use this option only if the manufacturer has developed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code of practice developed by a nationally recognized association or independent testing laboratory;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Requirements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begin meeting these requirements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UST systems in use on or before June 23, 2021, the initial spill prevention equipment test and overfill prevention equipment inspection must be conducted not later than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UST systems brought into use after June 23, 2021, these requirements apply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 and operators must maintain records as follows for spill prevention equipment and overfill prevention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records of testing or inspection must be maintained for three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spill prevention equipment and containment sumps used for interstitial monitoring of piping not tested every three years, documentation showing that the prevention equipment is double-walled and the integrity of both walls is periodically monitored must be maintained for as long as the equipment is periodically monitored.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 of practice referenced in 40 CFR 280.35(a)(2) may be used to comply with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135.4(13)</w:t>
      </w:r>
      <w:r>
        <w:rPr>
          <w:rFonts w:ascii="Times New Roman" w:hAnsi="Times New Roman"/>
          <w:b w:val="false"/>
          <w:i w:val="false"/>
          <w:color w:val="000000"/>
          <w:sz w:val="22"/>
        </w:rPr>
        <w:t> </w:t>
      </w:r>
      <w:r>
        <w:rPr>
          <w:rFonts w:ascii="Times New Roman" w:hAnsi="Times New Roman"/>
          <w:b w:val="false"/>
          <w:i/>
          <w:color w:val="000000"/>
          <w:sz w:val="22"/>
        </w:rPr>
        <w:t xml:space="preserve">Periodic operation and maintenance walkthrough inspections. </w:t>
      </w:r>
      <w:r>
        <w:rPr>
          <w:rFonts w:ascii="Times New Roman" w:hAnsi="Times New Roman"/>
          <w:b w:val="false"/>
          <w:i w:val="false"/>
          <w:color w:val="000000"/>
          <w:sz w:val="22"/>
        </w:rPr>
        <w:t>Conduct inspections to properly operate and maintain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a walkthrough inspection every 30 days that, at a minimum, checks the following equipment as specified below (Exception: spill prevention equipment at UST systems receiving deliveries at intervals greater than every 30 days may be checked prior to each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Spill prevention equipment: visually check for damage; remove liquid or debris; check for and remove obstructions in the fill pipe; check the fill cap to make sure it attaches securely on the fill pipe and gasket is in good condition; and, for double-walled spill prevention equipment with interstitial monitoring, check for a leak in the interstitial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Release detection equipment: check to make sure the release detection equipment is operating with no alarms or other unusual operating conditions present, and ensure records of release detection testing are reviewed and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a walkthrough inspection annually, at a minimum, checking the following equipment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Containment sumps: visually check for damage, leaks to the containment area, or releases to the environment; remove liquid (in contained sumps) or debris; and, for double-walled sumps with interstitial monitoring, check for a leak in the interstitial area,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Handheld release detection equipment: check devices such as tank gauge sticks or groundwater bailers for operability and serviceability;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operation and maintenance walkthrough inspections according to a standard code of practice developed by a nationally recognized association or independent testing laboratory that checks equipment comparable to </w:t>
      </w:r>
      <w:hyperlink r:id="rId87">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regarding </w:t>
      </w:r>
      <w:hyperlink r:id="rId88">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code of practice referenced in 40 CFR 280.36(a)(2) may be used to comply with </w:t>
      </w:r>
      <w:hyperlink r:id="rId89">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operation and maintenance walkthrough inspections developed by the department that checks equipment comparable to </w:t>
      </w:r>
      <w:hyperlink r:id="rId90">
        <w:r>
          <w:rPr>
            <w:rStyle w:val="Hyperlink"/>
            <w:rFonts w:ascii="Times New Roman" w:hAnsi="Times New Roman"/>
            <w:b w:val="false"/>
            <w:i w:val="false"/>
            <w:color w:val="000000"/>
            <w:sz w:val="22"/>
          </w:rPr>
          <w:t>135.4(13)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maintain records (in accordance with </w:t>
      </w:r>
      <w:hyperlink r:id="rId91">
        <w:r>
          <w:rPr>
            <w:rStyle w:val="Hyperlink"/>
            <w:rFonts w:ascii="Times New Roman" w:hAnsi="Times New Roman"/>
            <w:b w:val="false"/>
            <w:i w:val="false"/>
            <w:color w:val="000000"/>
            <w:sz w:val="22"/>
          </w:rPr>
          <w:t>135.4(5)</w:t>
        </w:r>
      </w:hyperlink>
      <w:r>
        <w:rPr>
          <w:rFonts w:ascii="Times New Roman" w:hAnsi="Times New Roman"/>
          <w:b w:val="false"/>
          <w:i w:val="false"/>
          <w:color w:val="000000"/>
          <w:sz w:val="22"/>
        </w:rPr>
        <w:t>) of operation and maintenance walkthrough inspections for 12 consecutive months. Records must include a list of each area checked, whether each area checked was acceptable or needed action taken, a description of actions taken to correct an issue, and delivery records if spill prevention equipment is checked less frequently than every 30 days due to infrequent deliveries.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9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4.pdf" Type="http://schemas.openxmlformats.org/officeDocument/2006/relationships/hyperlink" Id="rId4"/>
    <Relationship TargetMode="External" Target="https://www.legis.iowa.gov/docs/iac/rule/567.135.6.pdf" Type="http://schemas.openxmlformats.org/officeDocument/2006/relationships/hyperlink" Id="rId5"/>
    <Relationship TargetMode="External" Target="https://www.legis.iowa.gov/docs/iac/rule/567.135.15.pdf" Type="http://schemas.openxmlformats.org/officeDocument/2006/relationships/hyperlink" Id="rId6"/>
    <Relationship TargetMode="External" Target="https://www.legis.iowa.gov/docs/iac/rule/567.135.4.pdf" Type="http://schemas.openxmlformats.org/officeDocument/2006/relationships/hyperlink" Id="rId7"/>
    <Relationship TargetMode="External" Target="https://www.legis.iowa.gov/docs/iac/rule/567.135.4.pdf" Type="http://schemas.openxmlformats.org/officeDocument/2006/relationships/hyperlink" Id="rId8"/>
    <Relationship TargetMode="External" Target="https://www.legis.iowa.gov/docs/iac/rule/567.135.4.pdf" Type="http://schemas.openxmlformats.org/officeDocument/2006/relationships/hyperlink" Id="rId9"/>
    <Relationship TargetMode="External" Target="https://www.legis.iowa.gov/docs/iac/rule/567.135.4.pdf" Type="http://schemas.openxmlformats.org/officeDocument/2006/relationships/hyperlink" Id="rId10"/>
    <Relationship TargetMode="External" Target="https://www.legis.iowa.gov/docs/iac/rule/567.135.5.pdf" Type="http://schemas.openxmlformats.org/officeDocument/2006/relationships/hyperlink" Id="rId11"/>
    <Relationship TargetMode="External" Target="https://www.legis.iowa.gov/docs/iac/rule/567.135.5.pdf" Type="http://schemas.openxmlformats.org/officeDocument/2006/relationships/hyperlink" Id="rId12"/>
    <Relationship TargetMode="External" Target="https://www.legis.iowa.gov/docs/iac/rule/567.135.15.pdf" Type="http://schemas.openxmlformats.org/officeDocument/2006/relationships/hyperlink" Id="rId13"/>
    <Relationship TargetMode="External" Target="https://www.legis.iowa.gov/docs/iac/rule/567.135.15.pdf" Type="http://schemas.openxmlformats.org/officeDocument/2006/relationships/hyperlink" Id="rId14"/>
    <Relationship TargetMode="External" Target="https://www.legis.iowa.gov/docs/iac/rule/567.135.5.pdf" Type="http://schemas.openxmlformats.org/officeDocument/2006/relationships/hyperlink" Id="rId15"/>
    <Relationship TargetMode="External" Target="https://www.legis.iowa.gov/docs/iac/rule/567.135.5.pdf" Type="http://schemas.openxmlformats.org/officeDocument/2006/relationships/hyperlink" Id="rId16"/>
    <Relationship TargetMode="External" Target="https://www.legis.iowa.gov/docs/iac/rule/567.135.15.pdf" Type="http://schemas.openxmlformats.org/officeDocument/2006/relationships/hyperlink" Id="rId17"/>
    <Relationship TargetMode="External" Target="https://www.legis.iowa.gov/docs/iac/chapter/567.134.pdf" Type="http://schemas.openxmlformats.org/officeDocument/2006/relationships/hyperlink" Id="rId18"/>
    <Relationship TargetMode="External" Target="https://www.legis.iowa.gov/docs/ico/chapter/214A.1.pdf" Type="http://schemas.openxmlformats.org/officeDocument/2006/relationships/hyperlink" Id="rId19"/>
    <Relationship TargetMode="External" Target="https://www.legis.iowa.gov/docs/ico/chapter/455G.32.pdf" Type="http://schemas.openxmlformats.org/officeDocument/2006/relationships/hyperlink" Id="rId20"/>
    <Relationship TargetMode="External" Target="https://www.legis.iowa.gov/docs/ico/chapter/455G.33.pdf" Type="http://schemas.openxmlformats.org/officeDocument/2006/relationships/hyperlink" Id="rId21"/>
    <Relationship TargetMode="External" Target="https://www.legis.iowa.gov/docs/iac/rule/567.135.4.pdf" Type="http://schemas.openxmlformats.org/officeDocument/2006/relationships/hyperlink" Id="rId22"/>
    <Relationship TargetMode="External" Target="https://www.legis.iowa.gov/docs/iac/rule/567.135.4.pdf" Type="http://schemas.openxmlformats.org/officeDocument/2006/relationships/hyperlink" Id="rId23"/>
    <Relationship TargetMode="External" Target="https://www.legis.iowa.gov/docs/iac/rule/567.135.4.pdf" Type="http://schemas.openxmlformats.org/officeDocument/2006/relationships/hyperlink" Id="rId24"/>
    <Relationship TargetMode="External" Target="https://www.legis.iowa.gov/docs/iac/rule/567.135.5.pdf" Type="http://schemas.openxmlformats.org/officeDocument/2006/relationships/hyperlink" Id="rId25"/>
    <Relationship TargetMode="External" Target="https://www.legis.iowa.gov/docs/iac/rule/567.135.5.pdf" Type="http://schemas.openxmlformats.org/officeDocument/2006/relationships/hyperlink" Id="rId26"/>
    <Relationship TargetMode="External" Target="https://www.legis.iowa.gov/docs/iac/rule/567.135.4.pdf" Type="http://schemas.openxmlformats.org/officeDocument/2006/relationships/hyperlink" Id="rId27"/>
    <Relationship TargetMode="External" Target="https://www.legis.iowa.gov/docs/iac/rule/567.135.5.pdf" Type="http://schemas.openxmlformats.org/officeDocument/2006/relationships/hyperlink" Id="rId28"/>
    <Relationship TargetMode="External" Target="https://www.legis.iowa.gov/docs/iac/rule/567.135.4.pdf" Type="http://schemas.openxmlformats.org/officeDocument/2006/relationships/hyperlink" Id="rId29"/>
    <Relationship TargetMode="External" Target="https://www.legis.iowa.gov/docs/iac/rule/567.135.4.pdf" Type="http://schemas.openxmlformats.org/officeDocument/2006/relationships/hyperlink" Id="rId30"/>
    <Relationship TargetMode="External" Target="https://www.legis.iowa.gov/docs/iac/rule/567.135.4.pdf" Type="http://schemas.openxmlformats.org/officeDocument/2006/relationships/hyperlink" Id="rId31"/>
    <Relationship TargetMode="External" Target="https://www.legis.iowa.gov/docs/iac/rule/567.135.4.pdf" Type="http://schemas.openxmlformats.org/officeDocument/2006/relationships/hyperlink" Id="rId32"/>
    <Relationship TargetMode="External" Target="https://www.legis.iowa.gov/docs/iac/rule/567.135.15.pdf" Type="http://schemas.openxmlformats.org/officeDocument/2006/relationships/hyperlink" Id="rId33"/>
    <Relationship TargetMode="External" Target="https://www.legis.iowa.gov/docs/iac/rule/567.135.3.pdf" Type="http://schemas.openxmlformats.org/officeDocument/2006/relationships/hyperlink" Id="rId34"/>
    <Relationship TargetMode="External" Target="https://www.legis.iowa.gov/docs/iac/rule/567.135.3.pdf" Type="http://schemas.openxmlformats.org/officeDocument/2006/relationships/hyperlink" Id="rId35"/>
    <Relationship TargetMode="External" Target="https://www.legis.iowa.gov/docs/iac/rule/567.135.6.pdf" Type="http://schemas.openxmlformats.org/officeDocument/2006/relationships/hyperlink" Id="rId36"/>
    <Relationship TargetMode="External" Target="https://www.legis.iowa.gov/docs/iac/rule/567.135.6.pdf" Type="http://schemas.openxmlformats.org/officeDocument/2006/relationships/hyperlink" Id="rId37"/>
    <Relationship TargetMode="External" Target="https://www.legis.iowa.gov/docs/iac/rule/567.135.7.pdf" Type="http://schemas.openxmlformats.org/officeDocument/2006/relationships/hyperlink" Id="rId38"/>
    <Relationship TargetMode="External" Target="https://www.legis.iowa.gov/docs/iac/rule/567.135.7.pdf" Type="http://schemas.openxmlformats.org/officeDocument/2006/relationships/hyperlink" Id="rId39"/>
    <Relationship TargetMode="External" Target="https://www.legis.iowa.gov/docs/iac/rule/567.135.9.pdf" Type="http://schemas.openxmlformats.org/officeDocument/2006/relationships/hyperlink" Id="rId40"/>
    <Relationship TargetMode="External" Target="https://www.legis.iowa.gov/docs/iac/rule/567.135.7.pdf" Type="http://schemas.openxmlformats.org/officeDocument/2006/relationships/hyperlink" Id="rId41"/>
    <Relationship TargetMode="External" Target="https://www.legis.iowa.gov/docs/iac/rule/567.135.8.pdf" Type="http://schemas.openxmlformats.org/officeDocument/2006/relationships/hyperlink" Id="rId42"/>
    <Relationship TargetMode="External" Target="https://www.legis.iowa.gov/docs/iac/rule/567.135.12.pdf" Type="http://schemas.openxmlformats.org/officeDocument/2006/relationships/hyperlink" Id="rId43"/>
    <Relationship TargetMode="External" Target="https://www.legis.iowa.gov/docs/iac/rule/567.135.15.pdf" Type="http://schemas.openxmlformats.org/officeDocument/2006/relationships/hyperlink" Id="rId44"/>
    <Relationship TargetMode="External" Target="https://www.legis.iowa.gov/docs/ico/chapter/455G.32.pdf" Type="http://schemas.openxmlformats.org/officeDocument/2006/relationships/hyperlink" Id="rId45"/>
    <Relationship TargetMode="External" Target="https://www.legis.iowa.gov/docs/ico/chapter/455G.33.pdf" Type="http://schemas.openxmlformats.org/officeDocument/2006/relationships/hyperlink" Id="rId46"/>
    <Relationship TargetMode="External" Target="https://www.legis.iowa.gov/docs/iac/rule/567.135.3.pdf" Type="http://schemas.openxmlformats.org/officeDocument/2006/relationships/hyperlink" Id="rId47"/>
    <Relationship TargetMode="External" Target="https://www.legis.iowa.gov/docs/iac/rule/567.135.3.pdf" Type="http://schemas.openxmlformats.org/officeDocument/2006/relationships/hyperlink" Id="rId48"/>
    <Relationship TargetMode="External" Target="https://www.legis.iowa.gov/docs/iac/rule/567.135.4.pdf" Type="http://schemas.openxmlformats.org/officeDocument/2006/relationships/hyperlink" Id="rId49"/>
    <Relationship TargetMode="External" Target="https://www.legis.iowa.gov/docs/iac/rule/567.135.4.pdf" Type="http://schemas.openxmlformats.org/officeDocument/2006/relationships/hyperlink" Id="rId50"/>
    <Relationship TargetMode="External" Target="https://www.legis.iowa.gov/docs/iac/rule/567.135.5.pdf" Type="http://schemas.openxmlformats.org/officeDocument/2006/relationships/hyperlink" Id="rId51"/>
    <Relationship TargetMode="External" Target="https://www.legis.iowa.gov/docs/iac/rule/567.135.15.pdf" Type="http://schemas.openxmlformats.org/officeDocument/2006/relationships/hyperlink" Id="rId52"/>
    <Relationship TargetMode="External" Target="https://www.legis.iowa.gov/docs/iac/rule/567.135.4.pdf" Type="http://schemas.openxmlformats.org/officeDocument/2006/relationships/hyperlink" Id="rId53"/>
    <Relationship TargetMode="External" Target="https://www.legis.iowa.gov/docs/iac/rule/567.135.4.pdf" Type="http://schemas.openxmlformats.org/officeDocument/2006/relationships/hyperlink" Id="rId54"/>
    <Relationship TargetMode="External" Target="https://www.legis.iowa.gov/docs/iac/rule/567.135.3.pdf" Type="http://schemas.openxmlformats.org/officeDocument/2006/relationships/hyperlink" Id="rId55"/>
    <Relationship TargetMode="External" Target="https://www.legis.iowa.gov/docs/iac/rule/567.135.4.pdf" Type="http://schemas.openxmlformats.org/officeDocument/2006/relationships/hyperlink" Id="rId56"/>
    <Relationship TargetMode="External" Target="https://www.legis.iowa.gov/docs/iac/rule/567.135.4.pdf" Type="http://schemas.openxmlformats.org/officeDocument/2006/relationships/hyperlink" Id="rId57"/>
    <Relationship TargetMode="External" Target="https://www.legis.iowa.gov/docs/iac/rule/567.135.4.pdf" Type="http://schemas.openxmlformats.org/officeDocument/2006/relationships/hyperlink" Id="rId58"/>
    <Relationship TargetMode="External" Target="https://www.legis.iowa.gov/docs/ico/chapter/455G.32.pdf" Type="http://schemas.openxmlformats.org/officeDocument/2006/relationships/hyperlink" Id="rId59"/>
    <Relationship TargetMode="External" Target="https://www.legis.iowa.gov/docs/ico/chapter/455G.33.pdf" Type="http://schemas.openxmlformats.org/officeDocument/2006/relationships/hyperlink" Id="rId60"/>
    <Relationship TargetMode="External" Target="https://www.legis.iowa.gov/docs/iac/rule/567.135.15.pdf" Type="http://schemas.openxmlformats.org/officeDocument/2006/relationships/hyperlink" Id="rId61"/>
    <Relationship TargetMode="External" Target="https://www.legis.iowa.gov/docs/iac/rule/567.135.5.pdf" Type="http://schemas.openxmlformats.org/officeDocument/2006/relationships/hyperlink" Id="rId62"/>
    <Relationship TargetMode="External" Target="https://www.legis.iowa.gov/docs/iac/rule/567.135.4.pdf" Type="http://schemas.openxmlformats.org/officeDocument/2006/relationships/hyperlink" Id="rId63"/>
    <Relationship TargetMode="External" Target="https://www.legis.iowa.gov/docs/iac/rule/567.135.4.pdf" Type="http://schemas.openxmlformats.org/officeDocument/2006/relationships/hyperlink" Id="rId64"/>
    <Relationship TargetMode="External" Target="https://www.legis.iowa.gov/docs/iac/rule/567.135.4.pdf" Type="http://schemas.openxmlformats.org/officeDocument/2006/relationships/hyperlink" Id="rId65"/>
    <Relationship TargetMode="External" Target="https://www.legis.iowa.gov/docs/iac/chapter/567.134.pdf" Type="http://schemas.openxmlformats.org/officeDocument/2006/relationships/hyperlink" Id="rId66"/>
    <Relationship TargetMode="External" Target="https://www.legis.iowa.gov/docs/iac/rule/567.135.19.pdf" Type="http://schemas.openxmlformats.org/officeDocument/2006/relationships/hyperlink" Id="rId67"/>
    <Relationship TargetMode="External" Target="https://www.legis.iowa.gov/docs/iac/rule/567.135.19.pdf" Type="http://schemas.openxmlformats.org/officeDocument/2006/relationships/hyperlink" Id="rId68"/>
    <Relationship TargetMode="External" Target="https://www.legis.iowa.gov/docs/iac/chapter/567.134.pdf" Type="http://schemas.openxmlformats.org/officeDocument/2006/relationships/hyperlink" Id="rId69"/>
    <Relationship TargetMode="External" Target="https://www.legis.iowa.gov/docs/iac/rule/567.135.5.pdf" Type="http://schemas.openxmlformats.org/officeDocument/2006/relationships/hyperlink" Id="rId70"/>
    <Relationship TargetMode="External" Target="https://www.legis.iowa.gov/docs/iac/rule/567.135.6.pdf" Type="http://schemas.openxmlformats.org/officeDocument/2006/relationships/hyperlink" Id="rId71"/>
    <Relationship TargetMode="External" Target="https://www.legis.iowa.gov/docs/iac/rule/567.135.4.pdf" Type="http://schemas.openxmlformats.org/officeDocument/2006/relationships/hyperlink" Id="rId72"/>
    <Relationship TargetMode="External" Target="https://www.legis.iowa.gov/docs/iac/rule/567.135.4.pdf" Type="http://schemas.openxmlformats.org/officeDocument/2006/relationships/hyperlink" Id="rId73"/>
    <Relationship TargetMode="External" Target="https://www.legis.iowa.gov/docs/iac/chapter/567.134.pdf" Type="http://schemas.openxmlformats.org/officeDocument/2006/relationships/hyperlink" Id="rId74"/>
    <Relationship TargetMode="External" Target="https://www.legis.iowa.gov/docs/iac/rule/567.135.19.pdf" Type="http://schemas.openxmlformats.org/officeDocument/2006/relationships/hyperlink" Id="rId75"/>
    <Relationship TargetMode="External" Target="https://www.legis.iowa.gov/docs/iac/rule/567.135.19.pdf" Type="http://schemas.openxmlformats.org/officeDocument/2006/relationships/hyperlink" Id="rId76"/>
    <Relationship TargetMode="External" Target="https://www.legis.iowa.gov/docs/iac/chapter/567.134.pdf" Type="http://schemas.openxmlformats.org/officeDocument/2006/relationships/hyperlink" Id="rId77"/>
    <Relationship TargetMode="External" Target="https://www.legis.iowa.gov/docs/iac/chapter/567.134.pdf" Type="http://schemas.openxmlformats.org/officeDocument/2006/relationships/hyperlink" Id="rId78"/>
    <Relationship TargetMode="External" Target="https://www.legis.iowa.gov/docs/iac/chapter/567.136.pdf" Type="http://schemas.openxmlformats.org/officeDocument/2006/relationships/hyperlink" Id="rId79"/>
    <Relationship TargetMode="External" Target="https://www.legis.iowa.gov/docs/iac/rule/567.135.6.pdf" Type="http://schemas.openxmlformats.org/officeDocument/2006/relationships/hyperlink" Id="rId80"/>
    <Relationship TargetMode="External" Target="https://www.legis.iowa.gov/docs/iac/rule/567.135.4.pdf" Type="http://schemas.openxmlformats.org/officeDocument/2006/relationships/hyperlink" Id="rId81"/>
    <Relationship TargetMode="External" Target="https://www.legis.iowa.gov/docs/iac/rule/567.135.4.pdf" Type="http://schemas.openxmlformats.org/officeDocument/2006/relationships/hyperlink" Id="rId82"/>
    <Relationship TargetMode="External" Target="https://www.legis.iowa.gov/docs/iac/rule/567.135.4.pdf" Type="http://schemas.openxmlformats.org/officeDocument/2006/relationships/hyperlink" Id="rId83"/>
    <Relationship TargetMode="External" Target="https://www.legis.iowa.gov/docs/iac/rule/567.135.4.pdf" Type="http://schemas.openxmlformats.org/officeDocument/2006/relationships/hyperlink" Id="rId84"/>
    <Relationship TargetMode="External" Target="https://www.legis.iowa.gov/docs/iac/rule/567.135.4.pdf" Type="http://schemas.openxmlformats.org/officeDocument/2006/relationships/hyperlink" Id="rId85"/>
    <Relationship TargetMode="External" Target="https://www.legis.iowa.gov/docs/iac/rule/567.135.3.pdf" Type="http://schemas.openxmlformats.org/officeDocument/2006/relationships/hyperlink" Id="rId86"/>
    <Relationship TargetMode="External" Target="https://www.legis.iowa.gov/docs/iac/rule/567.135.4.pdf" Type="http://schemas.openxmlformats.org/officeDocument/2006/relationships/hyperlink" Id="rId87"/>
    <Relationship TargetMode="External" Target="https://www.legis.iowa.gov/docs/iac/rule/567.135.4.pdf" Type="http://schemas.openxmlformats.org/officeDocument/2006/relationships/hyperlink" Id="rId88"/>
    <Relationship TargetMode="External" Target="https://www.legis.iowa.gov/docs/iac/rule/567.135.4.pdf" Type="http://schemas.openxmlformats.org/officeDocument/2006/relationships/hyperlink" Id="rId89"/>
    <Relationship TargetMode="External" Target="https://www.legis.iowa.gov/docs/iac/rule/567.135.4.pdf" Type="http://schemas.openxmlformats.org/officeDocument/2006/relationships/hyperlink" Id="rId90"/>
    <Relationship TargetMode="External" Target="https://www.legis.iowa.gov/docs/iac/rule/567.135.4.pdf" Type="http://schemas.openxmlformats.org/officeDocument/2006/relationships/hyperlink" Id="rId91"/>
    <Relationship Target="footer.xml" Type="http://schemas.openxmlformats.org/officeDocument/2006/relationships/footer" Id="rId9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