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567—135.19</w:t>
      </w:r>
      <w:r>
        <w:rPr>
          <w:rFonts w:ascii="Times New Roman" w:hAnsi="Times New Roman"/>
          <w:b/>
          <w:i w:val="false"/>
          <w:color w:val="000000"/>
          <w:sz w:val="22"/>
        </w:rPr>
        <w:t xml:space="preserve">(455B) </w:t>
      </w:r>
      <w:r>
        <w:rPr>
          <w:rFonts w:ascii="Times New Roman" w:hAnsi="Times New Roman"/>
          <w:b/>
          <w:i w:val="false"/>
          <w:color w:val="000000"/>
          <w:sz w:val="22"/>
        </w:rPr>
        <w:t xml:space="preserve">Compliance inspection of UST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have the UST system inspected and an inspection report submitted to the department by a UST compliance inspector certified by the department under </w:t>
      </w:r>
      <w:hyperlink r:id="rId4">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An initial compliance site inspection shall be conducted within two years after new tank installation. All subsequent compliance site inspections conducted after the initial compliance site inspection shall be conducted within 24 months of the prior compliance site inspection. Compliance site inspections must be separated by at least six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135.19(2)</w:t>
      </w:r>
      <w:r>
        <w:rPr>
          <w:rFonts w:ascii="Times New Roman" w:hAnsi="Times New Roman"/>
          <w:b w:val="false"/>
          <w:i w:val="false"/>
          <w:color w:val="000000"/>
          <w:sz w:val="22"/>
        </w:rPr>
        <w:t> </w:t>
      </w:r>
      <w:r>
        <w:rPr>
          <w:rFonts w:ascii="Times New Roman" w:hAnsi="Times New Roman"/>
          <w:b w:val="false"/>
          <w:i w:val="false"/>
          <w:color w:val="000000"/>
          <w:sz w:val="22"/>
        </w:rPr>
        <w:t>Compliance inspection requirements. The owner and operator must comply with the following as part of the inspection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and respond to the inspection report provided by the certified compliance inspector and complete the corrective actions specified in the compliance inspection report within the specified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all records and documentation required by the certified compliance inspector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notification of a suspected release by the certified compliance inspector pursuant to </w:t>
      </w:r>
      <w:hyperlink r:id="rId5">
        <w:r>
          <w:rPr>
            <w:rStyle w:val="Hyperlink"/>
            <w:rFonts w:ascii="Times New Roman" w:hAnsi="Times New Roman"/>
            <w:b w:val="false"/>
            <w:i w:val="false"/>
            <w:color w:val="000000"/>
            <w:sz w:val="22"/>
          </w:rPr>
          <w:t>567—paragraph 134.10(3)</w:t>
        </w:r>
      </w:hyperlink>
      <w:r>
        <w:rPr>
          <w:rFonts w:ascii="Times New Roman" w:hAnsi="Times New Roman"/>
          <w:b w:val="false"/>
          <w:i/>
          <w:color w:val="000000"/>
          <w:sz w:val="22"/>
        </w:rPr>
        <w:t>“b,”</w:t>
      </w:r>
      <w:r>
        <w:rPr>
          <w:rFonts w:ascii="Times New Roman" w:hAnsi="Times New Roman"/>
          <w:b w:val="false"/>
          <w:i w:val="false"/>
          <w:color w:val="000000"/>
          <w:sz w:val="22"/>
        </w:rPr>
        <w:t xml:space="preserve"> report the condition to the department and undertake steps to investigate and confirm the suspected release as provided in </w:t>
      </w:r>
      <w:hyperlink r:id="rId6">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that the compliance inspector completes and submits an electronic inspection form in accordance with </w:t>
      </w:r>
      <w:hyperlink r:id="rId7">
        <w:r>
          <w:rPr>
            <w:rStyle w:val="Hyperlink"/>
            <w:rFonts w:ascii="Times New Roman" w:hAnsi="Times New Roman"/>
            <w:b w:val="false"/>
            <w:i w:val="false"/>
            <w:color w:val="000000"/>
            <w:sz w:val="22"/>
          </w:rPr>
          <w:t>567—subrule 134.10</w:t>
        </w:r>
      </w:hyperlink>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135.19(3)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and operator shall do the following upon receipt of a compliance inspection report as provided in </w:t>
      </w:r>
      <w:hyperlink r:id="rId8">
        <w:r>
          <w:rPr>
            <w:rStyle w:val="Hyperlink"/>
            <w:rFonts w:ascii="Times New Roman" w:hAnsi="Times New Roman"/>
            <w:b w:val="false"/>
            <w:i w:val="false"/>
            <w:color w:val="000000"/>
            <w:sz w:val="22"/>
          </w:rPr>
          <w:t>567—paragraph 134.10(3)</w:t>
        </w:r>
      </w:hyperlink>
      <w:r>
        <w:rPr>
          <w:rFonts w:ascii="Times New Roman" w:hAnsi="Times New Roman"/>
          <w:b w:val="false"/>
          <w:i/>
          <w:color w:val="000000"/>
          <w:sz w:val="22"/>
        </w:rPr>
        <w:t>“b,”</w:t>
      </w:r>
      <w:r>
        <w:rPr>
          <w:rFonts w:ascii="Times New Roman" w:hAnsi="Times New Roman"/>
          <w:b w:val="false"/>
          <w:i w:val="false"/>
          <w:color w:val="000000"/>
          <w:sz w:val="22"/>
        </w:rPr>
        <w:t xml:space="preserve"> which finds violations of the department’s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Take all actions necessary to correct any compliance violations or deficiencies in accordance with this chapter. Corrective action must be taken within 60 days of receipt of the inspector’s report or another reasonable time period approved by the department. The granting of time to remedy a violation does not preclude the department from exercising its discretion to assess penalties for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60 days of receipt of the inspector’s report, provide documentation to the compliance inspector that the violation or deficiencies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Conduct a follow-up inspection in instances where there are serious problems or a history of repeated violations when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135.19(4)</w:t>
      </w:r>
      <w:r>
        <w:rPr>
          <w:rFonts w:ascii="Times New Roman" w:hAnsi="Times New Roman"/>
          <w:b w:val="false"/>
          <w:i w:val="false"/>
          <w:color w:val="000000"/>
          <w:sz w:val="22"/>
        </w:rPr>
        <w:t> </w:t>
      </w:r>
      <w:r>
        <w:rPr>
          <w:rFonts w:ascii="Times New Roman" w:hAnsi="Times New Roman"/>
          <w:b w:val="false"/>
          <w:i w:val="false"/>
          <w:color w:val="000000"/>
          <w:sz w:val="22"/>
        </w:rPr>
        <w:t>Conflict of interest. A compliance site inspection must be conducted by a certified compliance inspector who is not the owner or operator of the UST system being inspected, an employee of the owner or operator of the UST system being inspected, or a person having daily on-site responsibility for the operation and maintenance of the UST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567.134.pdf" Type="http://schemas.openxmlformats.org/officeDocument/2006/relationships/hyperlink" Id="rId4"/>
    <Relationship TargetMode="External" Target="https://www.legis.iowa.gov/docs/iac/rule/567.134.10.pdf" Type="http://schemas.openxmlformats.org/officeDocument/2006/relationships/hyperlink" Id="rId5"/>
    <Relationship TargetMode="External" Target="https://www.legis.iowa.gov/docs/iac/rule/567.135.6.pdf" Type="http://schemas.openxmlformats.org/officeDocument/2006/relationships/hyperlink" Id="rId6"/>
    <Relationship TargetMode="External" Target="https://www.legis.iowa.gov/docs/iac/rule/567.134.10.pdf" Type="http://schemas.openxmlformats.org/officeDocument/2006/relationships/hyperlink" Id="rId7"/>
    <Relationship TargetMode="External" Target="https://www.legis.iowa.gov/docs/iac/rule/567.134.10.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