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567—135.15</w:t>
      </w:r>
      <w:r>
        <w:rPr>
          <w:rFonts w:ascii="Times New Roman" w:hAnsi="Times New Roman"/>
          <w:b/>
          <w:i w:val="false"/>
          <w:color w:val="000000"/>
          <w:sz w:val="22"/>
        </w:rPr>
        <w:t xml:space="preserve">(455B) </w:t>
      </w:r>
      <w:r>
        <w:rPr>
          <w:rFonts w:ascii="Times New Roman" w:hAnsi="Times New Roman"/>
          <w:b/>
          <w:i w:val="false"/>
          <w:color w:val="000000"/>
          <w:sz w:val="22"/>
        </w:rPr>
        <w:t xml:space="preserve">Out-of-service UST systems, temporary closure, and permanent closure.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135.15(1)</w:t>
      </w:r>
      <w:r>
        <w:rPr>
          <w:rFonts w:ascii="Times New Roman" w:hAnsi="Times New Roman"/>
          <w:b w:val="false"/>
          <w:i w:val="false"/>
          <w:color w:val="000000"/>
          <w:sz w:val="22"/>
        </w:rPr>
        <w:t> </w:t>
      </w:r>
      <w:r>
        <w:rPr>
          <w:rFonts w:ascii="Times New Roman" w:hAnsi="Times New Roman"/>
          <w:b w:val="false"/>
          <w:i/>
          <w:color w:val="000000"/>
          <w:sz w:val="22"/>
        </w:rPr>
        <w:t xml:space="preserve">Out-of-service UST systems and temporary 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UST systems not meeting either the performance standards in </w:t>
      </w:r>
      <w:hyperlink r:id="rId4">
        <w:r>
          <w:rPr>
            <w:rStyle w:val="Hyperlink"/>
            <w:rFonts w:ascii="Times New Roman" w:hAnsi="Times New Roman"/>
            <w:b w:val="false"/>
            <w:i w:val="false"/>
            <w:color w:val="000000"/>
            <w:sz w:val="22"/>
          </w:rPr>
          <w:t>135.3(1)</w:t>
        </w:r>
      </w:hyperlink>
      <w:r>
        <w:rPr>
          <w:rFonts w:ascii="Times New Roman" w:hAnsi="Times New Roman"/>
          <w:b w:val="false"/>
          <w:i w:val="false"/>
          <w:color w:val="000000"/>
          <w:sz w:val="22"/>
        </w:rPr>
        <w:t xml:space="preserve"> for new UST systems or the upgrading requirements in </w:t>
      </w:r>
      <w:hyperlink r:id="rId5">
        <w:r>
          <w:rPr>
            <w:rStyle w:val="Hyperlink"/>
            <w:rFonts w:ascii="Times New Roman" w:hAnsi="Times New Roman"/>
            <w:b w:val="false"/>
            <w:i w:val="false"/>
            <w:color w:val="000000"/>
            <w:sz w:val="22"/>
          </w:rPr>
          <w:t>135.3(2)</w:t>
        </w:r>
      </w:hyperlink>
      <w:r>
        <w:rPr>
          <w:rFonts w:ascii="Times New Roman" w:hAnsi="Times New Roman"/>
          <w:b w:val="false"/>
          <w:i w:val="false"/>
          <w:color w:val="000000"/>
          <w:sz w:val="22"/>
        </w:rPr>
        <w:t xml:space="preserve"> by December 22, 1998, must be permanently closed according to </w:t>
      </w:r>
      <w:hyperlink r:id="rId6">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 The tanks cannot be brought back into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UST system in compliance with new tank standards is out of service for less than three months, owners and operators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operation and maintenance of corrosion protection in accordance with </w:t>
      </w:r>
      <w:hyperlink r:id="rId7">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operation and maintenance of any release detection in accordance with </w:t>
      </w:r>
      <w:hyperlink r:id="rId8">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 unless the system is empty. The UST system is empty when all materials have been removed using commonly employed practices. No more than 2.5 centimeters (one inch) of residue, or 0.3 percent by weight of the total capacity of the UST system, may remain in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w:t>
      </w:r>
      <w:hyperlink r:id="rId9">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through </w:t>
      </w:r>
      <w:hyperlink r:id="rId10">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if a release is suspected or confirmed;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financial responsibility in accordance with </w:t>
      </w:r>
      <w:hyperlink r:id="rId11">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to pay the tank management fee as required in </w:t>
      </w:r>
      <w:hyperlink r:id="rId12">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to have compliance inspections conducted as required in </w:t>
      </w:r>
      <w:hyperlink r:id="rId13">
        <w:r>
          <w:rPr>
            <w:rStyle w:val="Hyperlink"/>
            <w:rFonts w:ascii="Times New Roman" w:hAnsi="Times New Roman"/>
            <w:b w:val="false"/>
            <w:i w:val="false"/>
            <w:color w:val="000000"/>
            <w:sz w:val="22"/>
          </w:rPr>
          <w:t>567—135.19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UST system is out of service for three months or more, an owner must submit a notification of temporary closure form to the department. Owners and operators must complete the requirements in </w:t>
      </w:r>
      <w:hyperlink r:id="rId14">
        <w:r>
          <w:rPr>
            <w:rStyle w:val="Hyperlink"/>
            <w:rFonts w:ascii="Times New Roman" w:hAnsi="Times New Roman"/>
            <w:b w:val="false"/>
            <w:i w:val="false"/>
            <w:color w:val="000000"/>
            <w:sz w:val="22"/>
          </w:rPr>
          <w:t>135.15(1)</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temporary closure and certify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UST system is empty of all regulated substances (e.g., receipt of product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Vent lines are open and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other piping, pumps, accesses, and ancillary equipment are capped and 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corrosion protection system is being maintained in accordance with </w:t>
      </w:r>
      <w:hyperlink r:id="rId15">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financial responsibility (e.g., insurance) according to </w:t>
      </w:r>
      <w:hyperlink r:id="rId16">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tank system is temporarily closed for more than 12 months, the owner must remain in compliance with the department’s temporary closure requirements in </w:t>
      </w:r>
      <w:hyperlink r:id="rId17">
        <w:r>
          <w:rPr>
            <w:rStyle w:val="Hyperlink"/>
            <w:rFonts w:ascii="Times New Roman" w:hAnsi="Times New Roman"/>
            <w:b w:val="false"/>
            <w:i w:val="false"/>
            <w:color w:val="000000"/>
            <w:sz w:val="22"/>
          </w:rPr>
          <w:t>135.15(1)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department may provide an extension to the 12-month temporary closure period. Owners and operators must complete a site check in accordance with </w:t>
      </w:r>
      <w:hyperlink r:id="rId18">
        <w:r>
          <w:rPr>
            <w:rStyle w:val="Hyperlink"/>
            <w:rFonts w:ascii="Times New Roman" w:hAnsi="Times New Roman"/>
            <w:b w:val="false"/>
            <w:i w:val="false"/>
            <w:color w:val="000000"/>
            <w:sz w:val="22"/>
          </w:rPr>
          <w:t>135.6(3)</w:t>
        </w:r>
      </w:hyperlink>
      <w:r>
        <w:rPr>
          <w:rFonts w:ascii="Times New Roman" w:hAnsi="Times New Roman"/>
          <w:b w:val="false"/>
          <w:i/>
          <w:color w:val="000000"/>
          <w:sz w:val="22"/>
        </w:rPr>
        <w:t>“b”</w:t>
      </w:r>
      <w:r>
        <w:rPr>
          <w:rFonts w:ascii="Times New Roman" w:hAnsi="Times New Roman"/>
          <w:b w:val="false"/>
          <w:i w:val="false"/>
          <w:color w:val="000000"/>
          <w:sz w:val="22"/>
        </w:rPr>
        <w:t xml:space="preserve"> before such an extension can be applied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tank system is temporarily closed for more than 12 months, but the tank system has not been temporarily closed according to the requirements of </w:t>
      </w:r>
      <w:hyperlink r:id="rId19">
        <w:r>
          <w:rPr>
            <w:rStyle w:val="Hyperlink"/>
            <w:rFonts w:ascii="Times New Roman" w:hAnsi="Times New Roman"/>
            <w:b w:val="false"/>
            <w:i w:val="false"/>
            <w:color w:val="000000"/>
            <w:sz w:val="22"/>
          </w:rPr>
          <w:t>135.15(1)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the owner or operator has failed to maintain out-of-service requirements in </w:t>
      </w:r>
      <w:hyperlink r:id="rId20">
        <w:r>
          <w:rPr>
            <w:rStyle w:val="Hyperlink"/>
            <w:rFonts w:ascii="Times New Roman" w:hAnsi="Times New Roman"/>
            <w:b w:val="false"/>
            <w:i w:val="false"/>
            <w:color w:val="000000"/>
            <w:sz w:val="22"/>
          </w:rPr>
          <w:t>135.15(1)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UST system must be permanently closed in accordance with </w:t>
      </w:r>
      <w:hyperlink r:id="rId21">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to returning a temporarily closed tank back into service, the owner or operator must complete and submit the department’s return-to-service form signed by the owner/operator and provide the following documentation unless otherwise approved by the department. The tank system cannot be operated or receive fuel until current tank tags have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applicable, documentation that corrosion protection has been maintained continuously in accordance with </w:t>
      </w:r>
      <w:hyperlink r:id="rId22">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 The owner or operator must provide an inspection log of the cathodic protection system and the inspection report of the cathodic protection system completed by an Iowa-certified cathodic protection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lined tanks, provide a lining and tank integrity inspection report in accordance with </w:t>
      </w:r>
      <w:hyperlink r:id="rId23">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precision tightness tests (0.1 gph) conducted on tanks in accordance with </w:t>
      </w:r>
      <w:hyperlink r:id="rId24">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precision tightness tests (0.1 gph) conducted on lines in accordance with </w:t>
      </w:r>
      <w:hyperlink r:id="rId25">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Function test (3.0 gph) results of mechanical or electronic leak detectors conducted in accordance with </w:t>
      </w:r>
      <w:hyperlink r:id="rId26">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Tank and piping leak detection is operational and in good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test results of the periodic testing of spill and overfill prevention equipment and containment sumps used for interstitial monitoring in accordance with </w:t>
      </w:r>
      <w:hyperlink r:id="rId27">
        <w:r>
          <w:rPr>
            <w:rStyle w:val="Hyperlink"/>
            <w:rFonts w:ascii="Times New Roman" w:hAnsi="Times New Roman"/>
            <w:b w:val="false"/>
            <w:i w:val="false"/>
            <w:color w:val="000000"/>
            <w:sz w:val="22"/>
          </w:rPr>
          <w:t>135.4(12)</w:t>
        </w:r>
      </w:hyperlink>
      <w:r>
        <w:rPr>
          <w:rFonts w:ascii="Times New Roman" w:hAnsi="Times New Roman"/>
          <w:b w:val="false"/>
          <w:i w:val="false"/>
          <w:color w:val="000000"/>
          <w:sz w:val="22"/>
        </w:rPr>
        <w:t xml:space="preserve"> in the last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Copy of the financial responsibility (e.g., UST insurance) mechanism in accordance with </w:t>
      </w:r>
      <w:hyperlink r:id="rId28">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Copies of Class A and Class B operator training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Change of ownership form (if the UST system was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135.15(2)</w:t>
      </w:r>
      <w:r>
        <w:rPr>
          <w:rFonts w:ascii="Times New Roman" w:hAnsi="Times New Roman"/>
          <w:b w:val="false"/>
          <w:i w:val="false"/>
          <w:color w:val="000000"/>
          <w:sz w:val="22"/>
        </w:rPr>
        <w:t> </w:t>
      </w:r>
      <w:r>
        <w:rPr>
          <w:rFonts w:ascii="Times New Roman" w:hAnsi="Times New Roman"/>
          <w:b w:val="false"/>
          <w:i/>
          <w:color w:val="000000"/>
          <w:sz w:val="22"/>
        </w:rPr>
        <w:t xml:space="preserve">Permanent closure and changes-in-service. </w:t>
      </w:r>
      <w:r>
        <w:rPr>
          <w:rFonts w:ascii="Times New Roman" w:hAnsi="Times New Roman"/>
          <w:b w:val="false"/>
          <w:i w:val="false"/>
          <w:color w:val="000000"/>
          <w:sz w:val="22"/>
        </w:rPr>
        <w:t>Permanent closure of an underground storage tank system must be conducted by an Iowa-certified tank remover. Closure sampling must be conducted by or under the supervision of an Iowa-certified groundwater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30 days before beginning either permanent closure or a change-in-service under </w:t>
      </w:r>
      <w:hyperlink r:id="rId29">
        <w:r>
          <w:rPr>
            <w:rStyle w:val="Hyperlink"/>
            <w:rFonts w:ascii="Times New Roman" w:hAnsi="Times New Roman"/>
            <w:b w:val="false"/>
            <w:i w:val="false"/>
            <w:color w:val="000000"/>
            <w:sz w:val="22"/>
          </w:rPr>
          <w:t>135.15(2)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owners and operators must notify the department of their intent to permanently close or make the change-in-service. An owner or operator must seek prior approval to permanently close a tank in a time frame shorter than the 30-day notice. The required assessment of the excavation zone under </w:t>
      </w:r>
      <w:hyperlink r:id="rId30">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xml:space="preserve"> must be performed after notifying the department but before completion of the permanent closure or a change-in-service.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permanently close a tank or piping, owners and operators must empty and clean them by removing all liquids and accumulated sludge. All tanks taken out of service permanently must also be removed from the ground, filled with an inert solid material, or closed in place by a method approved by the department. Piping must be removed from the ground or have the ends plugged with an inert solid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Continued use of a UST system to store a nonregulated substance is considered a change-in-service. Before a change-in-service, owners and operators must empty and clean the tank by removing all liquid and accumulated sludge and conduct a site assessment in accordance with </w:t>
      </w:r>
      <w:hyperlink r:id="rId31">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Permanent closure procedures must be followed in the replacement of tanks or piping. Notification must be made using DNR Form 542-1308, “Notification of Tank Closure or Change-in-Service.” The form must include the date scheduled for the closure. Confirmation of the closure date must be given to the DNR field office 24 hours prior to the actual closure. The required assessment of the excavation zone under </w:t>
      </w:r>
      <w:hyperlink r:id="rId32">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xml:space="preserve"> must be performed after notifying the department but before completion of the permanent closure or change-in-service.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cleaning and closure procedures listed in 40 CFR 280.71(c) may be used to comply with </w:t>
      </w:r>
      <w:hyperlink r:id="rId33">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135.15(3)</w:t>
      </w:r>
      <w:r>
        <w:rPr>
          <w:rFonts w:ascii="Times New Roman" w:hAnsi="Times New Roman"/>
          <w:b w:val="false"/>
          <w:i w:val="false"/>
          <w:color w:val="000000"/>
          <w:sz w:val="22"/>
        </w:rPr>
        <w:t> </w:t>
      </w:r>
      <w:r>
        <w:rPr>
          <w:rFonts w:ascii="Times New Roman" w:hAnsi="Times New Roman"/>
          <w:b w:val="false"/>
          <w:i/>
          <w:color w:val="000000"/>
          <w:sz w:val="22"/>
        </w:rPr>
        <w:t xml:space="preserve">Assessing the site at closure or change-in-service.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permanent closure or a change-in-service is completed, owners or operators must measure for the presence of a release where contamination is most likely to be present at the UST site. This soil and groundwater closure investigation must be conducted or supervised by a groundwater professional certified under </w:t>
      </w:r>
      <w:hyperlink r:id="rId34">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xml:space="preserve"> unless the department in its discretion grants an exemption and provides direct supervision of the closure investigation. In selecting the sample types, sample locations, and measurement methods, owners and operators must consider the method of closure, the nature of the stored substance, the type of backfill, the depth to groundwater, and other factors appropriate for identifying the presence of a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 UST sites with a history of petroleum storage, soil and groundwater samples shall in every case be analyzed for benzene, toluene, ethylbenzene, and xylenes (BTEX) with each compound reported separately in accordance with </w:t>
      </w:r>
      <w:hyperlink r:id="rId35">
        <w:r>
          <w:rPr>
            <w:rStyle w:val="Hyperlink"/>
            <w:rFonts w:ascii="Times New Roman" w:hAnsi="Times New Roman"/>
            <w:b w:val="false"/>
            <w:i w:val="false"/>
            <w:color w:val="000000"/>
            <w:sz w:val="22"/>
          </w:rPr>
          <w:t>567—135.16(455B)</w:t>
        </w:r>
      </w:hyperlink>
      <w:r>
        <w:rPr>
          <w:rFonts w:ascii="Times New Roman" w:hAnsi="Times New Roman"/>
          <w:b w:val="false"/>
          <w:i w:val="false"/>
          <w:color w:val="000000"/>
          <w:sz w:val="22"/>
        </w:rPr>
        <w:t xml:space="preserve">. If there has been a history or suspected history of petroleum storage other than gasoline or gasoline blends (i.e., all grades of diesel fuels, fuel oil, kerosene, oil and mineral spirits), or such storage history is unknown or uncertain, soil and groundwater samples shall also be analyzed for total extractable hydrocarbons in accordance with </w:t>
      </w:r>
      <w:hyperlink r:id="rId36">
        <w:r>
          <w:rPr>
            <w:rStyle w:val="Hyperlink"/>
            <w:rFonts w:ascii="Times New Roman" w:hAnsi="Times New Roman"/>
            <w:b w:val="false"/>
            <w:i w:val="false"/>
            <w:color w:val="000000"/>
            <w:sz w:val="22"/>
          </w:rPr>
          <w:t>567—135.16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such samples shall be collected separately and shipped to a laboratory certified under </w:t>
      </w:r>
      <w:hyperlink r:id="rId37">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within 72 hours of collection. Samples shall be refrigerated and protected from freezing during shipment to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UST is removed from an area of confirmed contamination, the department may waive closure sampling if written documentation is submitted with the closure notification. Documentation should include laboratory analytical reports and a site map showing tank and piping locations along with contamination plume and sampling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permanent tank and piping closures or changes-in-service, at least one water sample must be taken from the first saturated groundwater zone via a developed monitoring well except as provided in </w:t>
      </w:r>
      <w:hyperlink r:id="rId38">
        <w:r>
          <w:rPr>
            <w:rStyle w:val="Hyperlink"/>
            <w:rFonts w:ascii="Times New Roman" w:hAnsi="Times New Roman"/>
            <w:b w:val="false"/>
            <w:i w:val="false"/>
            <w:color w:val="000000"/>
            <w:sz w:val="22"/>
          </w:rPr>
          <w:t>135.15(3)</w:t>
        </w:r>
      </w:hyperlink>
      <w:r>
        <w:rPr>
          <w:rFonts w:ascii="Times New Roman" w:hAnsi="Times New Roman"/>
          <w:b w:val="false"/>
          <w:i/>
          <w:color w:val="000000"/>
          <w:sz w:val="22"/>
        </w:rPr>
        <w:t>“g.”</w:t>
      </w:r>
      <w:r>
        <w:rPr>
          <w:rFonts w:ascii="Times New Roman" w:hAnsi="Times New Roman"/>
          <w:b w:val="false"/>
          <w:i w:val="false"/>
          <w:color w:val="000000"/>
          <w:sz w:val="22"/>
        </w:rPr>
        <w:t> The well must be located downgradient from and as close as possible to the UST system but no farther away than 20 feet from system components. At some tank and piping closures, a minimum of one monitoring well may not be sufficient to represent a release where it is most likely to be present. An additional groundwater monitoring well or wells may be necessary.</w:t>
      </w:r>
    </w:p>
    <w:p>
      <w:pPr>
        <w:spacing w:before="0" w:after="0"/>
        <w:ind w:left="120"/>
        <w:jc w:val="both"/>
      </w:pPr>
      <w:r>
        <w:rPr>
          <w:rFonts w:ascii="Times New Roman" w:hAnsi="Times New Roman"/>
          <w:b w:val="false"/>
          <w:i w:val="false"/>
          <w:color w:val="000000"/>
          <w:sz w:val="22"/>
        </w:rPr>
        <w:t>If, however, the first saturated groundwater zone is not encountered within 10 feet below the lowest elevation of the tank excavation, the requirement for groundwater sampling shall not apply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Sands or highly permeable soils are encountered within 10 feet below the lowest level of the tank excavation that together with the underlying geology would, in the judgment of the department, pose the reasonable possibility that contamination may have reached groundwaters deeper than 10 feet below the lowest level of the tank excavation. The method of determining highly permeable soil is found in the departmental guidance document entitled “Underground Storage Tank Closure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Indications of potential groundwater contamination, including petroleum products in utility lines, petroleum products in private wells, petroleum product vapors in basements or other structures, occur in the area of the tank installation undergoing closure or change-in-service.</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permanent closure by tank removal, the departmental guidance document entitled “Underground Storage Tank Closure Guidance” must be followed. The minimum number of soil samples that must be taken depends on the tank size and length of product piping. Samples must be taken at a depth of one to two feet beneath the tank fill area below the base of the tank along the tank’s centerline. Soil samples must also be taken at least every ten feet along the product piping at a depth of one to two feet beneath the piping fill area below the piping, unless alternate sampling is approved by the department.</w:t>
      </w:r>
    </w:p>
    <w:p>
      <w:pPr>
        <w:spacing w:before="0" w:after="0"/>
        <w:ind w:left="120"/>
        <w:jc w:val="both"/>
      </w:pPr>
      <w:r>
        <w:rPr>
          <w:rFonts w:ascii="Times New Roman" w:hAnsi="Times New Roman"/>
          <w:b w:val="false"/>
          <w:i w:val="false"/>
          <w:color w:val="000000"/>
          <w:sz w:val="22"/>
        </w:rPr>
        <w:t>If sands or other highly permeable soils are encountered, alternative sampling methods may be required.</w:t>
      </w:r>
    </w:p>
    <w:p>
      <w:pPr>
        <w:spacing w:before="0" w:after="0"/>
        <w:ind w:left="120"/>
        <w:jc w:val="both"/>
      </w:pPr>
      <w:r>
        <w:rPr>
          <w:rFonts w:ascii="Times New Roman" w:hAnsi="Times New Roman"/>
          <w:b w:val="false"/>
          <w:i w:val="false"/>
          <w:color w:val="000000"/>
          <w:sz w:val="22"/>
        </w:rPr>
        <w:t>If contamination is suspected or found in any area within the excavation (i.e., sidewall or bottom), a soil sample must be taken at that location.</w:t>
      </w:r>
    </w:p>
    <w:p>
      <w:pPr>
        <w:spacing w:before="0" w:after="0"/>
        <w:ind w:left="120"/>
        <w:jc w:val="both"/>
      </w:pPr>
      <w:r>
        <w:rPr>
          <w:rFonts w:ascii="Times New Roman" w:hAnsi="Times New Roman"/>
          <w:b w:val="false"/>
          <w:i w:val="false"/>
          <w:color w:val="000000"/>
          <w:sz w:val="22"/>
        </w:rPr>
        <w:t>The numbers of samples required for tanks are as follows:</w:t>
      </w:r>
    </w:p>
    <w:tbl>
      <w:tblPr>
        <w:tblW w:w="0" w:type="auto"/>
        <w:tblCellSpacing w:w="0" w:type="auto"/>
        <w:tblBorders>
          <w:top w:val="none"/>
          <w:left w:val="none"/>
          <w:bottom w:val="none"/>
          <w:right w:val="none"/>
          <w:insideH w:val="none"/>
          <w:insideV w:val="none"/>
        </w:tblBorders>
        <w:tblLayout w:type="fixed"/>
      </w:tblPr>
      <w:tblGrid>
        <w:gridCol w:w="1484"/>
        <w:gridCol w:w="1484"/>
        <w:gridCol w:w="1942"/>
        <w:gridCol w:w="5333"/>
      </w:tblGrid>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Nominal Tank Capacity (gallons)</w:t>
            </w:r>
          </w:p>
        </w:tc>
        <w:tc>
          <w:tcPr>
            <w:tcW w:w="194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Number of Samples</w:t>
            </w:r>
          </w:p>
        </w:tc>
        <w:tc>
          <w:tcPr>
            <w:tcW w:w="53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Location on Centerline</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 or less</w:t>
            </w:r>
          </w:p>
        </w:tc>
        <w:tc>
          <w:tcPr>
            <w:tcW w:w="194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center of tank</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1,001 - 8,000</w:t>
            </w:r>
          </w:p>
        </w:tc>
        <w:tc>
          <w:tcPr>
            <w:tcW w:w="194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 from ends</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8,001 - 30,000</w:t>
            </w:r>
          </w:p>
        </w:tc>
        <w:tc>
          <w:tcPr>
            <w:tcW w:w="194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feet from ends and at center of tank</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30,001 - 40,000</w:t>
            </w:r>
          </w:p>
        </w:tc>
        <w:tc>
          <w:tcPr>
            <w:tcW w:w="194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and 15 feet from ends</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40,001 and more</w:t>
            </w:r>
          </w:p>
        </w:tc>
        <w:tc>
          <w:tcPr>
            <w:tcW w:w="194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and 15 feet from ends and at center of tank</w:t>
            </w:r>
          </w:p>
        </w:tc>
      </w:tr>
    </w:tbl>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closing a tank in place by filling with an inert solid material or for a change-in-service, the departmental guidance document entitled “Underground Storage Tank Closure Guidance” must be followed. The minimum number of soil borings required for sampling depends on the size of the tank and the length of the product piping. Soil samples must be taken within five feet of the sides and ends of the tank at a depth of two to four feet below the base of the tank, but outside the backfill material, at equal intervals around the tank. Soil samples must also be taken at least every ten feet along the product piping at a depth of one to two feet beneath the piping fill area below the piping, unless alternate sampling is approved by the department. If sands or other highly permeable soils are encountered, alternative sampling methods may be required.</w:t>
      </w:r>
    </w:p>
    <w:p>
      <w:pPr>
        <w:spacing w:before="0" w:after="0"/>
        <w:ind w:left="120"/>
        <w:jc w:val="both"/>
      </w:pPr>
      <w:r>
        <w:rPr>
          <w:rFonts w:ascii="Times New Roman" w:hAnsi="Times New Roman"/>
          <w:b w:val="false"/>
          <w:i w:val="false"/>
          <w:color w:val="000000"/>
          <w:sz w:val="22"/>
        </w:rPr>
        <w:t>The minimum numbers of soil borings and samples required are as follows:</w:t>
      </w:r>
    </w:p>
    <w:tbl>
      <w:tblPr>
        <w:tblW w:w="0" w:type="auto"/>
        <w:tblCellSpacing w:w="0" w:type="auto"/>
        <w:tblBorders>
          <w:top w:val="none"/>
          <w:left w:val="none"/>
          <w:bottom w:val="none"/>
          <w:right w:val="none"/>
          <w:insideH w:val="none"/>
          <w:insideV w:val="none"/>
        </w:tblBorders>
        <w:tblLayout w:type="fixed"/>
      </w:tblPr>
      <w:tblGrid>
        <w:gridCol w:w="2880"/>
        <w:gridCol w:w="2304"/>
        <w:gridCol w:w="4608"/>
      </w:tblGrid>
      <w:tr>
        <w:trPr>
          <w:trHeight w:val="345" w:hRule="atLeast"/>
        </w:trPr>
        <w:tc>
          <w:tcPr>
            <w:tcW w:w="28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Nominal Tank Capacity</w:t>
            </w:r>
            <w:r>
              <w:br/>
            </w:r>
            <w:r>
              <w:rPr>
                <w:rFonts w:ascii="Times New Roman" w:hAnsi="Times New Roman"/>
                <w:b w:val="false"/>
                <w:i w:val="false"/>
                <w:color w:val="000000"/>
                <w:sz w:val="14"/>
              </w:rPr>
              <w:t>(gallons)</w:t>
            </w:r>
          </w:p>
        </w:tc>
        <w:tc>
          <w:tcPr>
            <w:tcW w:w="2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Number of </w:t>
            </w:r>
            <w:r>
              <w:br/>
            </w:r>
            <w:r>
              <w:rPr>
                <w:rFonts w:ascii="Times New Roman" w:hAnsi="Times New Roman"/>
                <w:b w:val="false"/>
                <w:i w:val="false"/>
                <w:color w:val="000000"/>
                <w:sz w:val="14"/>
              </w:rPr>
              <w:t>Samples</w:t>
            </w:r>
          </w:p>
        </w:tc>
        <w:tc>
          <w:tcPr>
            <w:tcW w:w="460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Location of Samples</w:t>
            </w:r>
          </w:p>
        </w:tc>
      </w:tr>
      <w:tr>
        <w:trPr>
          <w:trHeight w:val="180" w:hRule="atLeast"/>
        </w:trPr>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6,000 or less</w:t>
            </w:r>
          </w:p>
        </w:tc>
        <w:tc>
          <w:tcPr>
            <w:tcW w:w="2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46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each end and each side</w:t>
            </w:r>
          </w:p>
        </w:tc>
      </w:tr>
      <w:tr>
        <w:trPr>
          <w:trHeight w:val="180" w:hRule="atLeast"/>
        </w:trPr>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6,001 - 12,000</w:t>
            </w:r>
          </w:p>
        </w:tc>
        <w:tc>
          <w:tcPr>
            <w:tcW w:w="2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w:t>
            </w:r>
          </w:p>
        </w:tc>
        <w:tc>
          <w:tcPr>
            <w:tcW w:w="46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each end and 2 each side</w:t>
            </w:r>
          </w:p>
        </w:tc>
      </w:tr>
      <w:tr>
        <w:trPr>
          <w:trHeight w:val="180" w:hRule="atLeast"/>
        </w:trPr>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12,001 or more</w:t>
            </w:r>
          </w:p>
        </w:tc>
        <w:tc>
          <w:tcPr>
            <w:tcW w:w="2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w:t>
            </w:r>
          </w:p>
        </w:tc>
        <w:tc>
          <w:tcPr>
            <w:tcW w:w="46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each end and 3 each side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closure report in a format prescribed by the department must be submitted to the department within 45 days of the tank removal or closure in place. Refer to the Underground Storage Tank Closure Guidance for reporting format. The tank tags must be returned with the closure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this subrule are satisfied if one of the external release detection methods allowed in </w:t>
      </w:r>
      <w:hyperlink r:id="rId39">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is operating in accordance with the requirements in </w:t>
      </w:r>
      <w:hyperlink r:id="rId40">
        <w:r>
          <w:rPr>
            <w:rStyle w:val="Hyperlink"/>
            <w:rFonts w:ascii="Times New Roman" w:hAnsi="Times New Roman"/>
            <w:b w:val="false"/>
            <w:i w:val="false"/>
            <w:color w:val="000000"/>
            <w:sz w:val="22"/>
          </w:rPr>
          <w:t>135.5(4)</w:t>
        </w:r>
      </w:hyperlink>
      <w:r>
        <w:rPr>
          <w:rFonts w:ascii="Times New Roman" w:hAnsi="Times New Roman"/>
          <w:b w:val="false"/>
          <w:i w:val="false"/>
          <w:color w:val="000000"/>
          <w:sz w:val="22"/>
        </w:rPr>
        <w:t xml:space="preserve"> at the time of closure and indicates no release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contaminated soils, contaminated groundwater, or free product as a liquid or vapor is discovered during the site assessment or by any other manner, contact the department in accordance with </w:t>
      </w:r>
      <w:hyperlink r:id="rId41">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 xml:space="preserve">. Normal closure procedures no longer apply. Owners and operators must begin corrective action in accordance with </w:t>
      </w:r>
      <w:hyperlink r:id="rId42">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through </w:t>
      </w:r>
      <w:hyperlink r:id="rId43">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Identification of free product requires immediate response in accordance with </w:t>
      </w:r>
      <w:hyperlink r:id="rId44">
        <w:r>
          <w:rPr>
            <w:rStyle w:val="Hyperlink"/>
            <w:rFonts w:ascii="Times New Roman" w:hAnsi="Times New Roman"/>
            <w:b w:val="false"/>
            <w:i w:val="false"/>
            <w:color w:val="000000"/>
            <w:sz w:val="22"/>
          </w:rPr>
          <w:t>135.7(4)</w:t>
        </w:r>
      </w:hyperlink>
      <w:r>
        <w:rPr>
          <w:rFonts w:ascii="Times New Roman" w:hAnsi="Times New Roman"/>
          <w:b w:val="false"/>
          <w:i w:val="false"/>
          <w:color w:val="000000"/>
          <w:sz w:val="22"/>
        </w:rPr>
        <w:t xml:space="preserve">. If contamination appears extensive or the groundwater is known to be contaminated, a full assessment of the contamination will be required. When a full assessment is required or anticipated, collection of the required closure samples is not required. If contamination appears limited to soils, overexcavation of the contaminated soils in accordance with </w:t>
      </w:r>
      <w:hyperlink r:id="rId45">
        <w:r>
          <w:rPr>
            <w:rStyle w:val="Hyperlink"/>
            <w:rFonts w:ascii="Times New Roman" w:hAnsi="Times New Roman"/>
            <w:b w:val="false"/>
            <w:i w:val="false"/>
            <w:color w:val="000000"/>
            <w:sz w:val="22"/>
          </w:rPr>
          <w:t>135.15(4)</w:t>
        </w:r>
      </w:hyperlink>
      <w:r>
        <w:rPr>
          <w:rFonts w:ascii="Times New Roman" w:hAnsi="Times New Roman"/>
          <w:b w:val="false"/>
          <w:i w:val="false"/>
          <w:color w:val="000000"/>
          <w:sz w:val="22"/>
        </w:rPr>
        <w:t xml:space="preserve"> may be allowed at the time of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135.15(4)</w:t>
      </w:r>
      <w:r>
        <w:rPr>
          <w:rFonts w:ascii="Times New Roman" w:hAnsi="Times New Roman"/>
          <w:b w:val="false"/>
          <w:i w:val="false"/>
          <w:color w:val="000000"/>
          <w:sz w:val="22"/>
        </w:rPr>
        <w:t> </w:t>
      </w:r>
      <w:r>
        <w:rPr>
          <w:rFonts w:ascii="Times New Roman" w:hAnsi="Times New Roman"/>
          <w:b w:val="false"/>
          <w:i/>
          <w:color w:val="000000"/>
          <w:sz w:val="22"/>
        </w:rPr>
        <w:t xml:space="preserve">Overexcavation of contaminated soils at 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contaminated soils are discovered while assessing a site at closure in accordance with </w:t>
      </w:r>
      <w:hyperlink r:id="rId46">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xml:space="preserve">, owners and operators may overexcavate up to one foot of the contaminated soils surrounding the tank pit. The contamination and overexcavation must be reported to the department in accordance with the requirements of </w:t>
      </w:r>
      <w:hyperlink r:id="rId47">
        <w:r>
          <w:rPr>
            <w:rStyle w:val="Hyperlink"/>
            <w:rFonts w:ascii="Times New Roman" w:hAnsi="Times New Roman"/>
            <w:b w:val="false"/>
            <w:i w:val="false"/>
            <w:color w:val="000000"/>
            <w:sz w:val="22"/>
          </w:rPr>
          <w:t>135.6(4)</w:t>
        </w:r>
      </w:hyperlink>
      <w:r>
        <w:rPr>
          <w:rFonts w:ascii="Times New Roman" w:hAnsi="Times New Roman"/>
          <w:b w:val="false"/>
          <w:i/>
          <w:color w:val="000000"/>
          <w:sz w:val="22"/>
        </w:rPr>
        <w:t>“a”</w:t>
      </w:r>
      <w:r>
        <w:rPr>
          <w:rFonts w:ascii="Times New Roman" w:hAnsi="Times New Roman"/>
          <w:b w:val="false"/>
          <w:i w:val="false"/>
          <w:color w:val="000000"/>
          <w:sz w:val="22"/>
        </w:rPr>
        <w:t xml:space="preserve"> prior to backfilling the excavation. If excavation is limited to one foot of contaminated soils, a soil sample shall be taken and laboratory analyzed in accordance with </w:t>
      </w:r>
      <w:hyperlink r:id="rId48">
        <w:r>
          <w:rPr>
            <w:rStyle w:val="Hyperlink"/>
            <w:rFonts w:ascii="Times New Roman" w:hAnsi="Times New Roman"/>
            <w:b w:val="false"/>
            <w:i w:val="false"/>
            <w:color w:val="000000"/>
            <w:sz w:val="22"/>
          </w:rPr>
          <w:t>567—135.16(455B)</w:t>
        </w:r>
      </w:hyperlink>
      <w:r>
        <w:rPr>
          <w:rFonts w:ascii="Times New Roman" w:hAnsi="Times New Roman"/>
          <w:b w:val="false"/>
          <w:i w:val="false"/>
          <w:color w:val="000000"/>
          <w:sz w:val="22"/>
        </w:rPr>
        <w:t xml:space="preserve"> from the area showing the greatest contamination. Any overexcavation of contaminated soils beyond one foot of contaminated soils is considered expedited corrective action and must be conducted by or under supervision of a certified groundwater professional in accordance with the procedures in </w:t>
      </w:r>
      <w:hyperlink r:id="rId49">
        <w:r>
          <w:rPr>
            <w:rStyle w:val="Hyperlink"/>
            <w:rFonts w:ascii="Times New Roman" w:hAnsi="Times New Roman"/>
            <w:b w:val="false"/>
            <w:i w:val="false"/>
            <w:color w:val="000000"/>
            <w:sz w:val="22"/>
          </w:rPr>
          <w:t>135.12(11)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Excavated contaminated soils must be properly disposed in accordance with </w:t>
      </w:r>
      <w:hyperlink r:id="rId50">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102</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120</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must be submitted to the department within 30 days of completion of the laboratory analysis. The report must include the requirements of </w:t>
      </w:r>
      <w:hyperlink r:id="rId55">
        <w:r>
          <w:rPr>
            <w:rStyle w:val="Hyperlink"/>
            <w:rFonts w:ascii="Times New Roman" w:hAnsi="Times New Roman"/>
            <w:b w:val="false"/>
            <w:i w:val="false"/>
            <w:color w:val="000000"/>
            <w:sz w:val="22"/>
          </w:rPr>
          <w:t>135.15(3)</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a dimensional drawing showing the depth and area of the excavation prior to and after overexcavation. The area of contamination must be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135.15(5)</w:t>
      </w:r>
      <w:r>
        <w:rPr>
          <w:rFonts w:ascii="Times New Roman" w:hAnsi="Times New Roman"/>
          <w:b w:val="false"/>
          <w:i w:val="false"/>
          <w:color w:val="000000"/>
          <w:sz w:val="22"/>
        </w:rPr>
        <w:t> </w:t>
      </w:r>
      <w:r>
        <w:rPr>
          <w:rFonts w:ascii="Times New Roman" w:hAnsi="Times New Roman"/>
          <w:b w:val="false"/>
          <w:i/>
          <w:color w:val="000000"/>
          <w:sz w:val="22"/>
        </w:rPr>
        <w:t xml:space="preserve">Applicability to previously closed UST systems. </w:t>
      </w:r>
      <w:r>
        <w:rPr>
          <w:rFonts w:ascii="Times New Roman" w:hAnsi="Times New Roman"/>
          <w:b w:val="false"/>
          <w:i w:val="false"/>
          <w:color w:val="000000"/>
          <w:sz w:val="22"/>
        </w:rPr>
        <w:t>When directed by the department, the owner and operator of a UST system permanently closed before October 24, 1988, must assess the excavation zone and close the UST system in accordance with this rule if releases from the UST may, in the judgment of the department, pose a current or potential threat to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135.15(6)</w:t>
      </w:r>
      <w:r>
        <w:rPr>
          <w:rFonts w:ascii="Times New Roman" w:hAnsi="Times New Roman"/>
          <w:b w:val="false"/>
          <w:i w:val="false"/>
          <w:color w:val="000000"/>
          <w:sz w:val="22"/>
        </w:rPr>
        <w:t> </w:t>
      </w:r>
      <w:r>
        <w:rPr>
          <w:rFonts w:ascii="Times New Roman" w:hAnsi="Times New Roman"/>
          <w:b w:val="false"/>
          <w:i/>
          <w:color w:val="000000"/>
          <w:sz w:val="22"/>
        </w:rPr>
        <w:t xml:space="preserve">Closure records. </w:t>
      </w:r>
      <w:r>
        <w:rPr>
          <w:rFonts w:ascii="Times New Roman" w:hAnsi="Times New Roman"/>
          <w:b w:val="false"/>
          <w:i w:val="false"/>
          <w:color w:val="000000"/>
          <w:sz w:val="22"/>
        </w:rPr>
        <w:t xml:space="preserve">Owners and operators must maintain records in accordance with </w:t>
      </w:r>
      <w:hyperlink r:id="rId56">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xml:space="preserve"> that are capable of demonstrating compliance with closure requirements under this rule. The results of the excavation zone assessment required in </w:t>
      </w:r>
      <w:hyperlink r:id="rId57">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xml:space="preserve"> must be maintained for at least three years after completion of permanent closure or change-in-service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the owners and operators who took the UST system out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the current owners and operators of the UST system site;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mailing these records to the department if they cannot be maintained at the closed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135.15(7)</w:t>
      </w:r>
      <w:r>
        <w:rPr>
          <w:rFonts w:ascii="Times New Roman" w:hAnsi="Times New Roman"/>
          <w:b w:val="false"/>
          <w:i w:val="false"/>
          <w:color w:val="000000"/>
          <w:sz w:val="22"/>
        </w:rPr>
        <w:t> </w:t>
      </w:r>
      <w:r>
        <w:rPr>
          <w:rFonts w:ascii="Times New Roman" w:hAnsi="Times New Roman"/>
          <w:b w:val="false"/>
          <w:i/>
          <w:color w:val="000000"/>
          <w:sz w:val="22"/>
        </w:rPr>
        <w:t xml:space="preserve">Applicability to pre-1974 USTs. </w:t>
      </w:r>
      <w:r>
        <w:rPr>
          <w:rFonts w:ascii="Times New Roman" w:hAnsi="Times New Roman"/>
          <w:b w:val="false"/>
          <w:i w:val="false"/>
          <w:color w:val="000000"/>
          <w:sz w:val="22"/>
        </w:rPr>
        <w:t xml:space="preserve">The closure provisions of </w:t>
      </w:r>
      <w:hyperlink r:id="rId58">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are not applicable to USTs that have been out of operation prior to January 1, 1974. For purposes of this subrule, out of operation means that no regulated substance has been deposited into or dispensed from the tanks and that the tanks do not currently contain an accumulation of regulated substances other than a de minimis amount as provided in </w:t>
      </w:r>
      <w:hyperlink r:id="rId59">
        <w:r>
          <w:rPr>
            <w:rStyle w:val="Hyperlink"/>
            <w:rFonts w:ascii="Times New Roman" w:hAnsi="Times New Roman"/>
            <w:b w:val="false"/>
            <w:i w:val="false"/>
            <w:color w:val="000000"/>
            <w:sz w:val="22"/>
          </w:rPr>
          <w:t>135.15(1)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Owners and operators or other interested parties are not required to submit documentation that USTs meet the exemption conditions and may rely on this subrule as guidance. However, should a question arise as to whether USTs meet the exemption, or owners and operators or other interested parties request acknowledgment by the department that USTs are exempt, they must submit an affidavit on a form provided by the department. The affiant must certify that based on a reasonable investigation and to the best of the affiant’s knowledge, the USTs were taken out of operation prior to January 1, 1974, the USTs have not contained a regulated substance since January 1, 1974, and the USTs do not currently contain an accumulation of regulated substances.</w:t>
      </w:r>
    </w:p>
    <w:p>
      <w:pPr>
        <w:spacing w:before="0" w:after="0"/>
        <w:ind w:left="120"/>
        <w:jc w:val="both"/>
      </w:pPr>
      <w:r>
        <w:rPr>
          <w:rFonts w:ascii="Times New Roman" w:hAnsi="Times New Roman"/>
          <w:b w:val="false"/>
          <w:i w:val="false"/>
          <w:color w:val="000000"/>
          <w:sz w:val="22"/>
        </w:rPr>
        <w:t xml:space="preserve">If the department has a reasonable basis to suspect a release has occurred, the release investigation and confirmation steps of </w:t>
      </w:r>
      <w:hyperlink r:id="rId60">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and the corrective action requirements as provided in </w:t>
      </w:r>
      <w:hyperlink r:id="rId61">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through </w:t>
      </w:r>
      <w:hyperlink r:id="rId62">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5.3.pdf" Type="http://schemas.openxmlformats.org/officeDocument/2006/relationships/hyperlink" Id="rId4"/>
    <Relationship TargetMode="External" Target="https://www.legis.iowa.gov/docs/iac/rule/567.135.3.pdf" Type="http://schemas.openxmlformats.org/officeDocument/2006/relationships/hyperlink" Id="rId5"/>
    <Relationship TargetMode="External" Target="https://www.legis.iowa.gov/docs/iac/rule/567.135.15.pdf" Type="http://schemas.openxmlformats.org/officeDocument/2006/relationships/hyperlink" Id="rId6"/>
    <Relationship TargetMode="External" Target="https://www.legis.iowa.gov/docs/iac/rule/567.135.4.pdf" Type="http://schemas.openxmlformats.org/officeDocument/2006/relationships/hyperlink" Id="rId7"/>
    <Relationship TargetMode="External" Target="https://www.legis.iowa.gov/docs/iac/rule/567.135.5.pdf" Type="http://schemas.openxmlformats.org/officeDocument/2006/relationships/hyperlink" Id="rId8"/>
    <Relationship TargetMode="External" Target="https://www.legis.iowa.gov/docs/iac/rule/567.135.6.pdf" Type="http://schemas.openxmlformats.org/officeDocument/2006/relationships/hyperlink" Id="rId9"/>
    <Relationship TargetMode="External" Target="https://www.legis.iowa.gov/docs/iac/rule/567.135.12.pdf" Type="http://schemas.openxmlformats.org/officeDocument/2006/relationships/hyperlink" Id="rId10"/>
    <Relationship TargetMode="External" Target="https://www.legis.iowa.gov/docs/iac/chapter/567.136.pdf" Type="http://schemas.openxmlformats.org/officeDocument/2006/relationships/hyperlink" Id="rId11"/>
    <Relationship TargetMode="External" Target="https://www.legis.iowa.gov/docs/iac/rule/567.135.3.pdf" Type="http://schemas.openxmlformats.org/officeDocument/2006/relationships/hyperlink" Id="rId12"/>
    <Relationship TargetMode="External" Target="https://www.legis.iowa.gov/docs/iac/rule/567.135.19.pdf" Type="http://schemas.openxmlformats.org/officeDocument/2006/relationships/hyperlink" Id="rId13"/>
    <Relationship TargetMode="External" Target="https://www.legis.iowa.gov/docs/iac/rule/567.135.15.pdf" Type="http://schemas.openxmlformats.org/officeDocument/2006/relationships/hyperlink" Id="rId14"/>
    <Relationship TargetMode="External" Target="https://www.legis.iowa.gov/docs/iac/rule/567.135.4.pdf" Type="http://schemas.openxmlformats.org/officeDocument/2006/relationships/hyperlink" Id="rId15"/>
    <Relationship TargetMode="External" Target="https://www.legis.iowa.gov/docs/iac/chapter/567.136.pdf" Type="http://schemas.openxmlformats.org/officeDocument/2006/relationships/hyperlink" Id="rId16"/>
    <Relationship TargetMode="External" Target="https://www.legis.iowa.gov/docs/iac/rule/567.135.15.pdf" Type="http://schemas.openxmlformats.org/officeDocument/2006/relationships/hyperlink" Id="rId17"/>
    <Relationship TargetMode="External" Target="https://www.legis.iowa.gov/docs/iac/rule/567.135.6.pdf" Type="http://schemas.openxmlformats.org/officeDocument/2006/relationships/hyperlink" Id="rId18"/>
    <Relationship TargetMode="External" Target="https://www.legis.iowa.gov/docs/iac/rule/567.135.15.pdf" Type="http://schemas.openxmlformats.org/officeDocument/2006/relationships/hyperlink" Id="rId19"/>
    <Relationship TargetMode="External" Target="https://www.legis.iowa.gov/docs/iac/rule/567.135.15.pdf" Type="http://schemas.openxmlformats.org/officeDocument/2006/relationships/hyperlink" Id="rId20"/>
    <Relationship TargetMode="External" Target="https://www.legis.iowa.gov/docs/iac/rule/567.135.15.pdf" Type="http://schemas.openxmlformats.org/officeDocument/2006/relationships/hyperlink" Id="rId21"/>
    <Relationship TargetMode="External" Target="https://www.legis.iowa.gov/docs/iac/rule/567.135.4.pdf" Type="http://schemas.openxmlformats.org/officeDocument/2006/relationships/hyperlink" Id="rId22"/>
    <Relationship TargetMode="External" Target="https://www.legis.iowa.gov/docs/iac/rule/567.135.3.pdf" Type="http://schemas.openxmlformats.org/officeDocument/2006/relationships/hyperlink" Id="rId23"/>
    <Relationship TargetMode="External" Target="https://www.legis.iowa.gov/docs/iac/rule/567.135.5.pdf" Type="http://schemas.openxmlformats.org/officeDocument/2006/relationships/hyperlink" Id="rId24"/>
    <Relationship TargetMode="External" Target="https://www.legis.iowa.gov/docs/iac/rule/567.135.5.pdf" Type="http://schemas.openxmlformats.org/officeDocument/2006/relationships/hyperlink" Id="rId25"/>
    <Relationship TargetMode="External" Target="https://www.legis.iowa.gov/docs/iac/rule/567.135.5.pdf" Type="http://schemas.openxmlformats.org/officeDocument/2006/relationships/hyperlink" Id="rId26"/>
    <Relationship TargetMode="External" Target="https://www.legis.iowa.gov/docs/iac/rule/567.135.4.pdf" Type="http://schemas.openxmlformats.org/officeDocument/2006/relationships/hyperlink" Id="rId27"/>
    <Relationship TargetMode="External" Target="https://www.legis.iowa.gov/docs/iac/chapter/567.136.pdf" Type="http://schemas.openxmlformats.org/officeDocument/2006/relationships/hyperlink" Id="rId28"/>
    <Relationship TargetMode="External" Target="https://www.legis.iowa.gov/docs/iac/rule/567.135.15.pdf" Type="http://schemas.openxmlformats.org/officeDocument/2006/relationships/hyperlink" Id="rId29"/>
    <Relationship TargetMode="External" Target="https://www.legis.iowa.gov/docs/iac/rule/567.135.15.pdf" Type="http://schemas.openxmlformats.org/officeDocument/2006/relationships/hyperlink" Id="rId30"/>
    <Relationship TargetMode="External" Target="https://www.legis.iowa.gov/docs/iac/rule/567.135.15.pdf" Type="http://schemas.openxmlformats.org/officeDocument/2006/relationships/hyperlink" Id="rId31"/>
    <Relationship TargetMode="External" Target="https://www.legis.iowa.gov/docs/iac/rule/567.135.15.pdf" Type="http://schemas.openxmlformats.org/officeDocument/2006/relationships/hyperlink" Id="rId32"/>
    <Relationship TargetMode="External" Target="https://www.legis.iowa.gov/docs/iac/rule/567.135.15.pdf" Type="http://schemas.openxmlformats.org/officeDocument/2006/relationships/hyperlink" Id="rId33"/>
    <Relationship TargetMode="External" Target="https://www.legis.iowa.gov/docs/iac/chapter/567.134.pdf" Type="http://schemas.openxmlformats.org/officeDocument/2006/relationships/hyperlink" Id="rId34"/>
    <Relationship TargetMode="External" Target="https://www.legis.iowa.gov/docs/iac/rule/567.135.16.pdf" Type="http://schemas.openxmlformats.org/officeDocument/2006/relationships/hyperlink" Id="rId35"/>
    <Relationship TargetMode="External" Target="https://www.legis.iowa.gov/docs/iac/rule/567.135.16.pdf" Type="http://schemas.openxmlformats.org/officeDocument/2006/relationships/hyperlink" Id="rId36"/>
    <Relationship TargetMode="External" Target="https://www.legis.iowa.gov/docs/iac/chapter/567.83.pdf" Type="http://schemas.openxmlformats.org/officeDocument/2006/relationships/hyperlink" Id="rId37"/>
    <Relationship TargetMode="External" Target="https://www.legis.iowa.gov/docs/iac/rule/567.135.15.pdf" Type="http://schemas.openxmlformats.org/officeDocument/2006/relationships/hyperlink" Id="rId38"/>
    <Relationship TargetMode="External" Target="https://www.legis.iowa.gov/docs/iac/rule/567.135.5.pdf" Type="http://schemas.openxmlformats.org/officeDocument/2006/relationships/hyperlink" Id="rId39"/>
    <Relationship TargetMode="External" Target="https://www.legis.iowa.gov/docs/iac/rule/567.135.5.pdf" Type="http://schemas.openxmlformats.org/officeDocument/2006/relationships/hyperlink" Id="rId40"/>
    <Relationship TargetMode="External" Target="https://www.legis.iowa.gov/docs/iac/rule/567.135.6.pdf" Type="http://schemas.openxmlformats.org/officeDocument/2006/relationships/hyperlink" Id="rId41"/>
    <Relationship TargetMode="External" Target="https://www.legis.iowa.gov/docs/iac/rule/567.135.7.pdf" Type="http://schemas.openxmlformats.org/officeDocument/2006/relationships/hyperlink" Id="rId42"/>
    <Relationship TargetMode="External" Target="https://www.legis.iowa.gov/docs/iac/rule/567.135.12.pdf" Type="http://schemas.openxmlformats.org/officeDocument/2006/relationships/hyperlink" Id="rId43"/>
    <Relationship TargetMode="External" Target="https://www.legis.iowa.gov/docs/iac/rule/567.135.7.pdf" Type="http://schemas.openxmlformats.org/officeDocument/2006/relationships/hyperlink" Id="rId44"/>
    <Relationship TargetMode="External" Target="https://www.legis.iowa.gov/docs/iac/rule/567.135.15.pdf" Type="http://schemas.openxmlformats.org/officeDocument/2006/relationships/hyperlink" Id="rId45"/>
    <Relationship TargetMode="External" Target="https://www.legis.iowa.gov/docs/iac/rule/567.135.15.pdf" Type="http://schemas.openxmlformats.org/officeDocument/2006/relationships/hyperlink" Id="rId46"/>
    <Relationship TargetMode="External" Target="https://www.legis.iowa.gov/docs/iac/rule/567.135.6.pdf" Type="http://schemas.openxmlformats.org/officeDocument/2006/relationships/hyperlink" Id="rId47"/>
    <Relationship TargetMode="External" Target="https://www.legis.iowa.gov/docs/iac/rule/567.135.16.pdf" Type="http://schemas.openxmlformats.org/officeDocument/2006/relationships/hyperlink" Id="rId48"/>
    <Relationship TargetMode="External" Target="https://www.legis.iowa.gov/docs/iac/rule/567.135.12.pdf" Type="http://schemas.openxmlformats.org/officeDocument/2006/relationships/hyperlink" Id="rId49"/>
    <Relationship TargetMode="External" Target="https://www.legis.iowa.gov/docs/iac/chapter/567.100.pdf" Type="http://schemas.openxmlformats.org/officeDocument/2006/relationships/hyperlink" Id="rId50"/>
    <Relationship TargetMode="External" Target="https://www.legis.iowa.gov/docs/iac/chapter/567.101.pdf" Type="http://schemas.openxmlformats.org/officeDocument/2006/relationships/hyperlink" Id="rId51"/>
    <Relationship TargetMode="External" Target="https://www.legis.iowa.gov/docs/iac/chapter/567.102.pdf" Type="http://schemas.openxmlformats.org/officeDocument/2006/relationships/hyperlink" Id="rId52"/>
    <Relationship TargetMode="External" Target="https://www.legis.iowa.gov/docs/iac/chapter/567.120.pdf" Type="http://schemas.openxmlformats.org/officeDocument/2006/relationships/hyperlink" Id="rId53"/>
    <Relationship TargetMode="External" Target="https://www.legis.iowa.gov/docs/iac/chapter/567.121.pdf" Type="http://schemas.openxmlformats.org/officeDocument/2006/relationships/hyperlink" Id="rId54"/>
    <Relationship TargetMode="External" Target="https://www.legis.iowa.gov/docs/iac/rule/567.135.15.pdf" Type="http://schemas.openxmlformats.org/officeDocument/2006/relationships/hyperlink" Id="rId55"/>
    <Relationship TargetMode="External" Target="https://www.legis.iowa.gov/docs/iac/rule/567.135.4.pdf" Type="http://schemas.openxmlformats.org/officeDocument/2006/relationships/hyperlink" Id="rId56"/>
    <Relationship TargetMode="External" Target="https://www.legis.iowa.gov/docs/iac/rule/567.135.15.pdf" Type="http://schemas.openxmlformats.org/officeDocument/2006/relationships/hyperlink" Id="rId57"/>
    <Relationship TargetMode="External" Target="https://www.legis.iowa.gov/docs/iac/rule/567.135.15.pdf" Type="http://schemas.openxmlformats.org/officeDocument/2006/relationships/hyperlink" Id="rId58"/>
    <Relationship TargetMode="External" Target="https://www.legis.iowa.gov/docs/iac/rule/567.135.15.pdf" Type="http://schemas.openxmlformats.org/officeDocument/2006/relationships/hyperlink" Id="rId59"/>
    <Relationship TargetMode="External" Target="https://www.legis.iowa.gov/docs/iac/rule/567.135.6.pdf" Type="http://schemas.openxmlformats.org/officeDocument/2006/relationships/hyperlink" Id="rId60"/>
    <Relationship TargetMode="External" Target="https://www.legis.iowa.gov/docs/iac/rule/567.135.7.pdf" Type="http://schemas.openxmlformats.org/officeDocument/2006/relationships/hyperlink" Id="rId61"/>
    <Relationship TargetMode="External" Target="https://www.legis.iowa.gov/docs/iac/rule/567.135.12.pdf" Type="http://schemas.openxmlformats.org/officeDocument/2006/relationships/hyperlink" Id="rId62"/>
    <Relationship Target="footer.xml" Type="http://schemas.openxmlformats.org/officeDocument/2006/relationships/footer" Id="rId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