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567—135.13</w:t>
      </w:r>
      <w:r>
        <w:rPr>
          <w:rFonts w:ascii="Times New Roman" w:hAnsi="Times New Roman"/>
          <w:b/>
          <w:i w:val="false"/>
          <w:color w:val="000000"/>
          <w:sz w:val="22"/>
        </w:rPr>
        <w:t xml:space="preserve">(455B)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135.13(1)</w:t>
      </w:r>
      <w:r>
        <w:rPr>
          <w:rFonts w:ascii="Times New Roman" w:hAnsi="Times New Roman"/>
          <w:b w:val="false"/>
          <w:i w:val="false"/>
          <w:color w:val="000000"/>
          <w:sz w:val="22"/>
        </w:rPr>
        <w:t> </w:t>
      </w:r>
      <w:r>
        <w:rPr>
          <w:rFonts w:ascii="Times New Roman" w:hAnsi="Times New Roman"/>
          <w:b w:val="false"/>
          <w:i w:val="false"/>
          <w:color w:val="000000"/>
          <w:sz w:val="22"/>
        </w:rPr>
        <w:t>For each confirmed release that is classified as high or low risk, the department must provide notice to the public by means designated to reach those members of the public directly affected by the release and the recommended corrective action response. This notice may include but is not limited to public notice in local newspapers, block advertisements, public service announcements, publication in a state register, letters to individual households, or personal contacts by the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135.13(2)</w:t>
      </w:r>
      <w:r>
        <w:rPr>
          <w:rFonts w:ascii="Times New Roman" w:hAnsi="Times New Roman"/>
          <w:b w:val="false"/>
          <w:i w:val="false"/>
          <w:color w:val="000000"/>
          <w:sz w:val="22"/>
        </w:rPr>
        <w:t> </w:t>
      </w:r>
      <w:r>
        <w:rPr>
          <w:rFonts w:ascii="Times New Roman" w:hAnsi="Times New Roman"/>
          <w:b w:val="false"/>
          <w:i w:val="false"/>
          <w:color w:val="000000"/>
          <w:sz w:val="22"/>
        </w:rPr>
        <w:t>The department must ensure site release information and decisions concerning the Tier 1 assessment report, Tier 2 and Tier 3 site cleanup reports are made available to the public for inspection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135.13(3)</w:t>
      </w:r>
      <w:r>
        <w:rPr>
          <w:rFonts w:ascii="Times New Roman" w:hAnsi="Times New Roman"/>
          <w:b w:val="false"/>
          <w:i w:val="false"/>
          <w:color w:val="000000"/>
          <w:sz w:val="22"/>
        </w:rPr>
        <w:t> </w:t>
      </w:r>
      <w:r>
        <w:rPr>
          <w:rFonts w:ascii="Times New Roman" w:hAnsi="Times New Roman"/>
          <w:b w:val="false"/>
          <w:i w:val="false"/>
          <w:color w:val="000000"/>
          <w:sz w:val="22"/>
        </w:rPr>
        <w:t>Before approving the Tier 2 or Tier 3 site cleanup report, the department may hold a public meeting to consider comments on the proposed corrective action response if there is sufficient public interest, or for any other reason.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must give a public notice that complies with </w:t>
      </w:r>
      <w:hyperlink r:id="rId4">
        <w:r>
          <w:rPr>
            <w:rStyle w:val="Hyperlink"/>
            <w:rFonts w:ascii="Times New Roman" w:hAnsi="Times New Roman"/>
            <w:b w:val="false"/>
            <w:i w:val="false"/>
            <w:color w:val="000000"/>
            <w:sz w:val="22"/>
          </w:rPr>
          <w:t>135.13(1)</w:t>
        </w:r>
      </w:hyperlink>
      <w:r>
        <w:rPr>
          <w:rFonts w:ascii="Times New Roman" w:hAnsi="Times New Roman"/>
          <w:b w:val="false"/>
          <w:i w:val="false"/>
          <w:color w:val="000000"/>
          <w:sz w:val="22"/>
        </w:rPr>
        <w:t xml:space="preserve"> above if the implementation of the approved Tier 2 or Tier 3 site cleanup report does not achieve the established cleanup levels in the report and the termination of that report is under consideration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35.13.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