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567—135.12</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and 3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(4)(b)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that uses the maximum concentrations at a source and predicts at what levels actual or potential receptors could be impacted in the future. Concentrations must also be compared to the site-specific target level line that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ind w:left="120"/>
        <w:jc w:val="both"/>
      </w:pPr>
      <w:r>
        <w:rPr>
          <w:rFonts w:ascii="Times New Roman" w:hAnsi="Times New Roman"/>
          <w:b w:val="false"/>
          <w:i w:val="false"/>
          <w:color w:val="000000"/>
          <w:sz w:val="22"/>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w:t>
      </w:r>
      <w:hyperlink r:id="rId5">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135.12(2)</w:t>
      </w:r>
      <w:r>
        <w:rPr>
          <w:rFonts w:ascii="Times New Roman" w:hAnsi="Times New Roman"/>
          <w:b w:val="false"/>
          <w:i w:val="false"/>
          <w:color w:val="000000"/>
          <w:sz w:val="22"/>
        </w:rPr>
        <w:t> </w:t>
      </w:r>
      <w:r>
        <w:rPr>
          <w:rFonts w:ascii="Times New Roman" w:hAnsi="Times New Roman"/>
          <w:b w:val="false"/>
          <w:i/>
          <w:color w:val="000000"/>
          <w:sz w:val="22"/>
        </w:rPr>
        <w:t xml:space="preserve">High risk classification. </w:t>
      </w:r>
      <w:r>
        <w:rPr>
          <w:rFonts w:ascii="Times New Roman" w:hAnsi="Times New Roman"/>
          <w:b w:val="false"/>
          <w:i w:val="false"/>
          <w:color w:val="000000"/>
          <w:sz w:val="22"/>
        </w:rPr>
        <w:t>Except as provided below, sites shall be classified as high risk if, for any pathway, any actual contaminate concentrations exceed the site-specific target level line at any point for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to enclosed space and soil to water line pathways, sites shall be classified as high risk if the target levels for actual receptors are exceeded as provided in </w:t>
      </w:r>
      <w:hyperlink r:id="rId6">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or groundwater vapor to enclosed space pathways, sites shall be classified as high risk if the explosivity levels at applicable points of compliance are exceeded as provided in </w:t>
      </w:r>
      <w:hyperlink r:id="rId8">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135.12(3)</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Objectives. The primary objectives of corrective action in response to a high risk classification are both short-term and long-term. The short-term goal is to eliminate or reduce the risk of exposure at actual receptors that have been or are imminently threatened with exposure above target levels. The longer term goal is to prevent exposure to actual receptors that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1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of free product, all water lines, regardless of construction material, must be relocated unless there is no other option and the department has approved an alternate plan of construction. Refer to </w:t>
      </w:r>
      <w:hyperlink r:id="rId11">
        <w:r>
          <w:rPr>
            <w:rStyle w:val="Hyperlink"/>
            <w:rFonts w:ascii="Times New Roman" w:hAnsi="Times New Roman"/>
            <w:b w:val="false"/>
            <w:i w:val="false"/>
            <w:color w:val="000000"/>
            <w:sz w:val="22"/>
          </w:rPr>
          <w:t>135.7(4)</w:t>
        </w:r>
      </w:hyperlink>
      <w:r>
        <w:rPr>
          <w:rFonts w:ascii="Times New Roman" w:hAnsi="Times New Roman"/>
          <w:b w:val="false"/>
          <w:i/>
          <w:color w:val="000000"/>
          <w:sz w:val="22"/>
        </w:rPr>
        <w:t>“d”</w:t>
      </w:r>
      <w:r>
        <w:rPr>
          <w:rFonts w:ascii="Times New Roman" w:hAnsi="Times New Roman"/>
          <w:b w:val="false"/>
          <w:i w:val="false"/>
          <w:color w:val="000000"/>
          <w:sz w:val="22"/>
        </w:rPr>
        <w:t>(11). If a service line remains in the area of LNAPL, a backflow preventer shall be installed to prevent impacts to the larger water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12">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14">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The CADR must identify at least two principally applicable corrective action options designed to meet the objectives in </w:t>
      </w:r>
      <w:hyperlink r:id="rId15">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16">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monitoring. 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17">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completion of corrective action, the site must meet exit monitoring criteria to be reclassified as no action required as specified in </w:t>
      </w:r>
      <w:hyperlink r:id="rId18">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At any point where an institutional or technological control is implemented and approved by the department, the site may be reclassified as no action required consistent with </w:t>
      </w:r>
      <w:hyperlink r:id="rId19">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135.12(4)</w:t>
      </w:r>
      <w:r>
        <w:rPr>
          <w:rFonts w:ascii="Times New Roman" w:hAnsi="Times New Roman"/>
          <w:b w:val="false"/>
          <w:i w:val="false"/>
          <w:color w:val="000000"/>
          <w:sz w:val="22"/>
        </w:rPr>
        <w:t> </w:t>
      </w:r>
      <w:r>
        <w:rPr>
          <w:rFonts w:ascii="Times New Roman" w:hAnsi="Times New Roman"/>
          <w:b w:val="false"/>
          <w:i/>
          <w:color w:val="000000"/>
          <w:sz w:val="22"/>
        </w:rPr>
        <w:t xml:space="preserve">Low risk classification. </w:t>
      </w:r>
      <w:r>
        <w:rPr>
          <w:rFonts w:ascii="Times New Roman" w:hAnsi="Times New Roman"/>
          <w:b w:val="false"/>
          <w:i w:val="false"/>
          <w:color w:val="000000"/>
          <w:sz w:val="22"/>
        </w:rPr>
        <w:t>A site shall be classified as low risk if none of the pathways are high risk and if any of the pathways are low risk. A pathway shall be classified low risk if it meets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actual and potential receptors, if the modeled data and the actual concentrations are less than the site-specific target level line, and any of the actual concentrations are greater than the simulation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if any actual concentrations exceed the site-specific target level line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w:t>
      </w:r>
      <w:hyperlink r:id="rId20">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(2). If at any time during the three-year monitoring period, groundwater concentrations exceed the Tier 1 level for potential receptors, the site shall be classified as high risk requiring soil remediation in accordance with </w:t>
      </w:r>
      <w:hyperlink r:id="rId21">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135.12(5)</w:t>
      </w:r>
      <w:r>
        <w:rPr>
          <w:rFonts w:ascii="Times New Roman" w:hAnsi="Times New Roman"/>
          <w:b w:val="false"/>
          <w:i w:val="false"/>
          <w:color w:val="000000"/>
          <w:sz w:val="22"/>
        </w:rPr>
        <w:t> </w:t>
      </w:r>
      <w:r>
        <w:rPr>
          <w:rFonts w:ascii="Times New Roman" w:hAnsi="Times New Roman"/>
          <w:b w:val="false"/>
          <w:i/>
          <w:color w:val="000000"/>
          <w:sz w:val="22"/>
        </w:rPr>
        <w:t xml:space="preserve">Low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22">
        <w:r>
          <w:rPr>
            <w:rStyle w:val="Hyperlink"/>
            <w:rFonts w:ascii="Times New Roman" w:hAnsi="Times New Roman"/>
            <w:b w:val="false"/>
            <w:i w:val="false"/>
            <w:color w:val="000000"/>
            <w:sz w:val="22"/>
          </w:rPr>
          <w:t>135.12(8)</w:t>
        </w:r>
      </w:hyperlink>
      <w:r>
        <w:rPr>
          <w:rFonts w:ascii="Times New Roman" w:hAnsi="Times New Roman"/>
          <w:b w:val="false"/>
          <w:i w:val="false"/>
          <w:color w:val="000000"/>
          <w:sz w:val="22"/>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Monitoring under this provision may be used to satisfy exit monitoring if it otherwise meets the criteria in </w:t>
      </w:r>
      <w:hyperlink r:id="rId2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soil vapor to enclosed space pathway potential receptors, soil gas samples must be taken at a minimum of once per year in the area(s) of expected maximum vapor concentrations where an institutional control is not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pathway potential receptors, annual groundwater monitoring is required for a minimum of three years as provided in </w:t>
      </w:r>
      <w:hyperlink r:id="rId24">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“c.”</w:t>
      </w:r>
      <w:r>
        <w:rPr>
          <w:rFonts w:ascii="Times New Roman" w:hAnsi="Times New Roman"/>
          <w:b w:val="false"/>
          <w:i w:val="false"/>
          <w:color w:val="000000"/>
          <w:sz w:val="22"/>
        </w:rPr>
        <w:t xml:space="preser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soil to water line pathway potential receptors, notification of the utility company is required. Notification will result in reclassification to no action required.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that also meets the exit criteria under </w:t>
      </w:r>
      <w:hyperlink r:id="rId25">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may be used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or pathway must meet exit monitoring criteria to be reclassified as no action required as specified in </w:t>
      </w:r>
      <w:hyperlink r:id="rId26">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“b.”</w:t>
      </w:r>
      <w:r>
        <w:rPr>
          <w:rFonts w:ascii="Times New Roman" w:hAnsi="Times New Roman"/>
          <w:b w:val="false"/>
          <w:i w:val="false"/>
          <w:color w:val="000000"/>
          <w:sz w:val="22"/>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27">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135.12(6)</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shall be classified as no action required if all of the pathways are classified as no action required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Soil pathways shall be classified as no action required if samples are less than the applicable target levels as defined for each pathway and confirmational sampling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that confirms the no action required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groundwater pathway shall be reclassified from high risk to no action required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A steady and declining trend includes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 actual receptors within the actual groundwater plume defined to the applicable target level and plume stability has been documented to show that the actual plume is not migrating to actual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low risk site shall be reclassified as “no action required” if contaminant concentrations are below the site-specific target level and if exit monitoring criteria have been met pursuant to </w:t>
      </w:r>
      <w:hyperlink r:id="rId28">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obtaining site classification as no action required, all groundwater monitoring wells must be properly plugged in accordance with </w:t>
      </w:r>
      <w:hyperlink r:id="rId29">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135.12(7)</w:t>
      </w: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Any site or pathway that is classified as high risk may be reclassified to low risk if in the course of corrective action the criteria for low risk classification are established. Any site or pathway that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135.12(8)</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and technological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covenant as provided in Iowa Code chapter </w:t>
      </w:r>
      <w:hyperlink r:id="rId31">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32">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135.12(9)</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design report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CADR within 60 days of the date the department approves or is deemed to approve a Tier 2 assessment report under </w:t>
      </w:r>
      <w:hyperlink r:id="rId33">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that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CADR must provide the following certification with the CADR:</w:t>
      </w:r>
    </w:p>
    <w:p>
      <w:pPr>
        <w:spacing w:before="0" w:after="0"/>
        <w:ind w:left="120"/>
        <w:jc w:val="both"/>
      </w:pPr>
      <w:r>
        <w:rPr>
          <w:rFonts w:ascii="Times New Roman" w:hAnsi="Times New Roman"/>
          <w:b w:val="false"/>
          <w:i w:val="false"/>
          <w:color w:val="000000"/>
          <w:sz w:val="22"/>
        </w:rPr>
        <w:t xml:space="preserve">I, ___________________, groundwater professional certification number _____________, am familiar with all applicable requirements of Iowa Code section </w:t>
      </w:r>
      <w:hyperlink r:id="rId34">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35">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 xml:space="preserve"> and meets the applicable requirements of the corrective action design report, and that the recommended corrective action can reasonably be expected to meet its stated objectives.</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135.12(10)</w:t>
      </w:r>
      <w:r>
        <w:rPr>
          <w:rFonts w:ascii="Times New Roman" w:hAnsi="Times New Roman"/>
          <w:b w:val="false"/>
          <w:i w:val="false"/>
          <w:color w:val="000000"/>
          <w:sz w:val="22"/>
        </w:rPr>
        <w:t> </w:t>
      </w:r>
      <w:r>
        <w:rPr>
          <w:rFonts w:ascii="Times New Roman" w:hAnsi="Times New Roman"/>
          <w:b w:val="false"/>
          <w:i/>
          <w:color w:val="000000"/>
          <w:sz w:val="22"/>
        </w:rPr>
        <w:t xml:space="preserve">Monitoring certificates and no further action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certificate. The department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that has been issued a monitoring certificate shall not be eligible to receive a certificate evidencing completion of remediation until the site is reclassified as no action required. The monitoring certificate may be invalidated and the site reclassified to high risk if it is determined by the department that the owner of the site is not in compliance with the requirements specified in the monitoring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action certificate. When the no action required site classification has been determined based on a recommendation of the certified groundwater professional as provided in </w:t>
      </w:r>
      <w:hyperlink r:id="rId36">
        <w:r>
          <w:rPr>
            <w:rStyle w:val="Hyperlink"/>
            <w:rFonts w:ascii="Times New Roman" w:hAnsi="Times New Roman"/>
            <w:b w:val="false"/>
            <w:i w:val="false"/>
            <w:color w:val="000000"/>
            <w:sz w:val="22"/>
          </w:rPr>
          <w:t>135.9(11)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(see also Iowa Code section </w:t>
      </w:r>
      <w:hyperlink r:id="rId39">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(8)(a) and (c)), the department shall issue a no further action certificate.</w:t>
      </w:r>
    </w:p>
    <w:p>
      <w:pPr>
        <w:spacing w:before="0" w:after="0"/>
        <w:ind w:left="120"/>
        <w:jc w:val="both"/>
      </w:pPr>
      <w:r>
        <w:rPr>
          <w:rFonts w:ascii="Times New Roman" w:hAnsi="Times New Roman"/>
          <w:b w:val="false"/>
          <w:i w:val="false"/>
          <w:color w:val="000000"/>
          <w:sz w:val="22"/>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free product is present, the department shall not issue a no further action certificate until the department has approved termination of all free product assessment and recovery in accordance with </w:t>
      </w:r>
      <w:hyperlink r:id="rId40">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has been determined by a certified groundwater professional not to present an unreasonable risk to the public health and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groundwater professional has certified that all groundwater monitoring wells have been permanently closed in accordance with </w:t>
      </w:r>
      <w:hyperlink r:id="rId41">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exception of wells that are allowed to be maintained pursuant to </w:t>
      </w:r>
      <w:hyperlink r:id="rId42">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Wells not properly maintained shall be referred to the water supply section of the department that enforces 567—Chapters </w:t>
      </w:r>
      <w:hyperlink r:id="rId43">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certificate will not constitute a warranty of any kind to any person as to the condition, marketability or value of the described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in a form provided by the department that is recordable in accordance with Iowa Code section </w:t>
      </w:r>
      <w:hyperlink r:id="rId45">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46">
        <w:r>
          <w:rPr>
            <w:rStyle w:val="Hyperlink"/>
            <w:rFonts w:ascii="Times New Roman" w:hAnsi="Times New Roman"/>
            <w:b w:val="false"/>
            <w:i w:val="false"/>
            <w:color w:val="000000"/>
            <w:sz w:val="22"/>
          </w:rPr>
          <w:t>455B.474(1)</w:t>
        </w:r>
        <w:r>
          <w:rPr>
            <w:rFonts w:ascii="Times New Roman" w:hAnsi="Times New Roman"/>
            <w:b w:val="false"/>
            <w:i/>
            <w:color w:val="000000"/>
            <w:sz w:val="22"/>
          </w:rPr>
          <w:t>“a”</w:t>
        </w:r>
        <w:r>
          <w:rPr>
            <w:rFonts w:ascii="Times New Roman" w:hAnsi="Times New Roman"/>
            <w:b w:val="false"/>
            <w:i w:val="false"/>
            <w:color w:val="000000"/>
            <w:sz w:val="22"/>
          </w:rPr>
          <w:t>(8)(c)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47">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135.12(11)</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previously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Free product recovery pursuant to </w:t>
      </w:r>
      <w:hyperlink r:id="rId48">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474.pdf" Type="http://schemas.openxmlformats.org/officeDocument/2006/relationships/hyperlink" Id="rId4"/>
    <Relationship TargetMode="External" Target="https://www.legis.iowa.gov/docs/iac/rule/567.135.10.pdf" Type="http://schemas.openxmlformats.org/officeDocument/2006/relationships/hyperlink" Id="rId5"/>
    <Relationship TargetMode="External" Target="https://www.legis.iowa.gov/docs/iac/rule/567.135.10.pdf" Type="http://schemas.openxmlformats.org/officeDocument/2006/relationships/hyperlink" Id="rId6"/>
    <Relationship TargetMode="External" Target="https://www.legis.iowa.gov/docs/iac/rule/567.135.10.pdf" Type="http://schemas.openxmlformats.org/officeDocument/2006/relationships/hyperlink" Id="rId7"/>
    <Relationship TargetMode="External" Target="https://www.legis.iowa.gov/docs/iac/rule/567.135.10.pdf" Type="http://schemas.openxmlformats.org/officeDocument/2006/relationships/hyperlink" Id="rId8"/>
    <Relationship TargetMode="External" Target="https://www.legis.iowa.gov/docs/iac/rule/567.135.10.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rule/567.135.7.pdf" Type="http://schemas.openxmlformats.org/officeDocument/2006/relationships/hyperlink" Id="rId11"/>
    <Relationship TargetMode="External" Target="https://www.legis.iowa.gov/docs/iac/rule/567.135.10.pdf" Type="http://schemas.openxmlformats.org/officeDocument/2006/relationships/hyperlink" Id="rId12"/>
    <Relationship TargetMode="External" Target="https://www.legis.iowa.gov/docs/iac/rule/567.135.10.pdf" Type="http://schemas.openxmlformats.org/officeDocument/2006/relationships/hyperlink" Id="rId13"/>
    <Relationship TargetMode="External" Target="https://www.legis.iowa.gov/docs/iac/rule/567.135.10.pdf" Type="http://schemas.openxmlformats.org/officeDocument/2006/relationships/hyperlink" Id="rId14"/>
    <Relationship TargetMode="External" Target="https://www.legis.iowa.gov/docs/iac/rule/567.135.12.pdf" Type="http://schemas.openxmlformats.org/officeDocument/2006/relationships/hyperlink" Id="rId15"/>
    <Relationship TargetMode="External" Target="https://www.legis.iowa.gov/docs/iac/rule/567.135.12.pdf" Type="http://schemas.openxmlformats.org/officeDocument/2006/relationships/hyperlink" Id="rId16"/>
    <Relationship TargetMode="External" Target="https://www.legis.iowa.gov/docs/iac/rule/567.135.12.pdf" Type="http://schemas.openxmlformats.org/officeDocument/2006/relationships/hyperlink" Id="rId17"/>
    <Relationship TargetMode="External" Target="https://www.legis.iowa.gov/docs/iac/rule/567.135.12.pdf" Type="http://schemas.openxmlformats.org/officeDocument/2006/relationships/hyperlink" Id="rId18"/>
    <Relationship TargetMode="External" Target="https://www.legis.iowa.gov/docs/iac/rule/567.135.12.pdf" Type="http://schemas.openxmlformats.org/officeDocument/2006/relationships/hyperlink" Id="rId19"/>
    <Relationship TargetMode="External" Target="https://www.legis.iowa.gov/docs/iac/rule/567.135.12.pdf" Type="http://schemas.openxmlformats.org/officeDocument/2006/relationships/hyperlink" Id="rId20"/>
    <Relationship TargetMode="External" Target="https://www.legis.iowa.gov/docs/iac/rule/567.135.12.pdf" Type="http://schemas.openxmlformats.org/officeDocument/2006/relationships/hyperlink" Id="rId21"/>
    <Relationship TargetMode="External" Target="https://www.legis.iowa.gov/docs/iac/rule/567.135.12.pdf" Type="http://schemas.openxmlformats.org/officeDocument/2006/relationships/hyperlink" Id="rId22"/>
    <Relationship TargetMode="External" Target="https://www.legis.iowa.gov/docs/iac/rule/567.135.12.pdf" Type="http://schemas.openxmlformats.org/officeDocument/2006/relationships/hyperlink" Id="rId23"/>
    <Relationship TargetMode="External" Target="https://www.legis.iowa.gov/docs/iac/rule/567.135.12.pdf" Type="http://schemas.openxmlformats.org/officeDocument/2006/relationships/hyperlink" Id="rId24"/>
    <Relationship TargetMode="External" Target="https://www.legis.iowa.gov/docs/iac/rule/567.135.12.pdf" Type="http://schemas.openxmlformats.org/officeDocument/2006/relationships/hyperlink" Id="rId25"/>
    <Relationship TargetMode="External" Target="https://www.legis.iowa.gov/docs/iac/rule/567.135.12.pdf" Type="http://schemas.openxmlformats.org/officeDocument/2006/relationships/hyperlink" Id="rId26"/>
    <Relationship TargetMode="External" Target="https://www.legis.iowa.gov/docs/iac/rule/567.135.12.pdf" Type="http://schemas.openxmlformats.org/officeDocument/2006/relationships/hyperlink" Id="rId27"/>
    <Relationship TargetMode="External" Target="https://www.legis.iowa.gov/docs/iac/rule/567.135.12.pdf" Type="http://schemas.openxmlformats.org/officeDocument/2006/relationships/hyperlink" Id="rId28"/>
    <Relationship TargetMode="External" Target="https://www.legis.iowa.gov/docs/iac/chapter/567.39.pdf" Type="http://schemas.openxmlformats.org/officeDocument/2006/relationships/hyperlink" Id="rId29"/>
    <Relationship TargetMode="External" Target="https://www.legis.iowa.gov/docs/iac/chapter/567.49.pdf" Type="http://schemas.openxmlformats.org/officeDocument/2006/relationships/hyperlink" Id="rId30"/>
    <Relationship TargetMode="External" Target="https://www.legis.iowa.gov/docs/ico/chapter/455I.pdf" Type="http://schemas.openxmlformats.org/officeDocument/2006/relationships/hyperlink" Id="rId31"/>
    <Relationship TargetMode="External" Target="https://www.legis.iowa.gov/docs/iac/rule/567.135.12.pdf" Type="http://schemas.openxmlformats.org/officeDocument/2006/relationships/hyperlink" Id="rId32"/>
    <Relationship TargetMode="External" Target="https://www.legis.iowa.gov/docs/iac/rule/567.135.10.pdf" Type="http://schemas.openxmlformats.org/officeDocument/2006/relationships/hyperlink" Id="rId33"/>
    <Relationship TargetMode="External" Target="https://www.legis.iowa.gov/docs/ico/chapter/455B.474.pdf" Type="http://schemas.openxmlformats.org/officeDocument/2006/relationships/hyperlink" Id="rId34"/>
    <Relationship TargetMode="External" Target="https://www.legis.iowa.gov/docs/iac/rule/567.135.12.pdf" Type="http://schemas.openxmlformats.org/officeDocument/2006/relationships/hyperlink" Id="rId35"/>
    <Relationship TargetMode="External" Target="https://www.legis.iowa.gov/docs/iac/rule/567.135.9.pdf" Type="http://schemas.openxmlformats.org/officeDocument/2006/relationships/hyperlink" Id="rId36"/>
    <Relationship TargetMode="External" Target="https://www.legis.iowa.gov/docs/iac/rule/567.135.10.pdf" Type="http://schemas.openxmlformats.org/officeDocument/2006/relationships/hyperlink" Id="rId37"/>
    <Relationship TargetMode="External" Target="https://www.legis.iowa.gov/docs/iac/rule/567.135.12.pdf" Type="http://schemas.openxmlformats.org/officeDocument/2006/relationships/hyperlink" Id="rId38"/>
    <Relationship TargetMode="External" Target="https://www.legis.iowa.gov/docs/ico/chapter/455B.474.pdf" Type="http://schemas.openxmlformats.org/officeDocument/2006/relationships/hyperlink" Id="rId39"/>
    <Relationship TargetMode="External" Target="https://www.legis.iowa.gov/docs/iac/rule/567.135.7.pdf" Type="http://schemas.openxmlformats.org/officeDocument/2006/relationships/hyperlink" Id="rId40"/>
    <Relationship TargetMode="External" Target="https://www.legis.iowa.gov/docs/iac/rule/567.135.12.pdf" Type="http://schemas.openxmlformats.org/officeDocument/2006/relationships/hyperlink" Id="rId41"/>
    <Relationship TargetMode="External" Target="https://www.legis.iowa.gov/docs/iac/rule/567.135.12.pdf" Type="http://schemas.openxmlformats.org/officeDocument/2006/relationships/hyperlink" Id="rId42"/>
    <Relationship TargetMode="External" Target="https://www.legis.iowa.gov/docs/iac/chapter/567.39.pdf" Type="http://schemas.openxmlformats.org/officeDocument/2006/relationships/hyperlink" Id="rId43"/>
    <Relationship TargetMode="External" Target="https://www.legis.iowa.gov/docs/iac/chapter/567.49.pdf" Type="http://schemas.openxmlformats.org/officeDocument/2006/relationships/hyperlink" Id="rId44"/>
    <Relationship TargetMode="External" Target="https://www.legis.iowa.gov/docs/ico/chapter/558.1.pdf" Type="http://schemas.openxmlformats.org/officeDocument/2006/relationships/hyperlink" Id="rId45"/>
    <Relationship TargetMode="External" Target="https://www.legis.iowa.gov/docs/ico/chapter/455B.474.pdf" Type="http://schemas.openxmlformats.org/officeDocument/2006/relationships/hyperlink" Id="rId46"/>
    <Relationship TargetMode="External" Target="https://www.legis.iowa.gov/docs/iac/rule/567.135.12.pdf" Type="http://schemas.openxmlformats.org/officeDocument/2006/relationships/hyperlink" Id="rId47"/>
    <Relationship TargetMode="External" Target="https://www.legis.iowa.gov/docs/iac/rule/567.135.7.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