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567—135.11</w:t>
      </w:r>
      <w:r>
        <w:rPr>
          <w:rFonts w:ascii="Times New Roman" w:hAnsi="Times New Roman"/>
          <w:b/>
          <w:i w:val="false"/>
          <w:color w:val="000000"/>
          <w:sz w:val="22"/>
        </w:rPr>
        <w:t xml:space="preserve">(455B) </w:t>
      </w:r>
      <w:r>
        <w:rPr>
          <w:rFonts w:ascii="Times New Roman" w:hAnsi="Times New Roman"/>
          <w:b/>
          <w:i w:val="false"/>
          <w:color w:val="000000"/>
          <w:sz w:val="22"/>
        </w:rPr>
        <w:t xml:space="preserve">Tier 3 site assessment policy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135.11(1)</w:t>
      </w:r>
      <w:r>
        <w:rPr>
          <w:rFonts w:ascii="Times New Roman" w:hAnsi="Times New Roman"/>
          <w:b w:val="false"/>
          <w:i w:val="false"/>
          <w:color w:val="000000"/>
          <w:sz w:val="22"/>
        </w:rPr>
        <w:t> </w:t>
      </w:r>
      <w:r>
        <w:rPr>
          <w:rFonts w:ascii="Times New Roman" w:hAnsi="Times New Roman"/>
          <w:b w:val="false"/>
          <w:i/>
          <w:color w:val="000000"/>
          <w:sz w:val="22"/>
        </w:rPr>
        <w:t xml:space="preserve"> General. </w:t>
      </w:r>
      <w:r>
        <w:rPr>
          <w:rFonts w:ascii="Times New Roman" w:hAnsi="Times New Roman"/>
          <w:b w:val="false"/>
          <w:i w:val="false"/>
          <w:color w:val="000000"/>
          <w:sz w:val="22"/>
        </w:rPr>
        <w:t xml:space="preserve">Tier 3 site assessment. Unless specifically limited by rule or an imminent hazard exists, an owner or operator may choose to prepare a Tier 3 site assessment as an alternative to completion of a Tier 2 assessment under </w:t>
      </w:r>
      <w:hyperlink r:id="rId4">
        <w:r>
          <w:rPr>
            <w:rStyle w:val="Hyperlink"/>
            <w:rFonts w:ascii="Times New Roman" w:hAnsi="Times New Roman"/>
            <w:b w:val="false"/>
            <w:i w:val="false"/>
            <w:color w:val="000000"/>
            <w:sz w:val="22"/>
          </w:rPr>
          <w:t>567—135.10(455B)</w:t>
        </w:r>
      </w:hyperlink>
      <w:r>
        <w:rPr>
          <w:rFonts w:ascii="Times New Roman" w:hAnsi="Times New Roman"/>
          <w:b w:val="false"/>
          <w:i w:val="false"/>
          <w:color w:val="000000"/>
          <w:sz w:val="22"/>
        </w:rPr>
        <w:t xml:space="preserve"> or as an alternative to completion of a corrective action design report under </w:t>
      </w:r>
      <w:hyperlink r:id="rId5">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Prior to conducting a Tier 3 site assessment, a groundwater professional must submit a work plan to the department for approval. The work plan must contain an evaluation of the specific site conditions that justify the use of a Tier 3 assessment, an outline of the proposed Tier 3 assessment procedures, a reporting format and a method for determining a risk classification consistent with the provisions underlying the risk classification system in </w:t>
      </w:r>
      <w:hyperlink r:id="rId6">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 Upon approval, the groundwater professional may implement the assessment plan and submit a report within a reasonable time designated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135.11(2)</w:t>
      </w:r>
      <w:r>
        <w:rPr>
          <w:rFonts w:ascii="Times New Roman" w:hAnsi="Times New Roman"/>
          <w:b w:val="false"/>
          <w:i w:val="false"/>
          <w:color w:val="000000"/>
          <w:sz w:val="22"/>
        </w:rPr>
        <w:t> </w:t>
      </w:r>
      <w:r>
        <w:rPr>
          <w:rFonts w:ascii="Times New Roman" w:hAnsi="Times New Roman"/>
          <w:b w:val="false"/>
          <w:i/>
          <w:color w:val="000000"/>
          <w:sz w:val="22"/>
        </w:rPr>
        <w:t xml:space="preserve">Tier 3 site assessment. </w:t>
      </w:r>
      <w:r>
        <w:rPr>
          <w:rFonts w:ascii="Times New Roman" w:hAnsi="Times New Roman"/>
          <w:b w:val="false"/>
          <w:i w:val="false"/>
          <w:color w:val="000000"/>
          <w:sz w:val="22"/>
        </w:rPr>
        <w:t xml:space="preserve">A Tier 3 assessment may include but is not limited to the use of more site-specific or multidimensional models and assessment data, methods for calibrating Tier 2 models to make them more predictive of actual site conditions, and more extensive assessment of receptor construction and vulnerability to contaminant impacts. If use of Tier 2 models is proposed with substitution of other site-specific data (as opposed to the Tier 2 default parameters), the groundwater professional must adequately justify how site-specific data is to be measured and why it is necessary. The groundwater professional must demonstrate that the proposal has a proven applicability to underground storage tank sites or similar conditions or has a strong theoretical basis for applicability and is not biased toward underestimating assessment results. The Tier 3 assessment report shall make a recommendation for site classification as high risk, low risk or no action required, at least two corrective action response technologies and provide justification consistent with the standards and policies underlying risk classification and corrective action response under </w:t>
      </w:r>
      <w:hyperlink r:id="rId7">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 xml:space="preserve">(455B) and Iowa Code chapter </w:t>
      </w:r>
      <w:hyperlink r:id="rId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135.11(3)</w:t>
      </w:r>
      <w:r>
        <w:rPr>
          <w:rFonts w:ascii="Times New Roman" w:hAnsi="Times New Roman"/>
          <w:b w:val="false"/>
          <w:i w:val="false"/>
          <w:color w:val="000000"/>
          <w:sz w:val="22"/>
        </w:rPr>
        <w:t> </w:t>
      </w:r>
      <w:r>
        <w:rPr>
          <w:rFonts w:ascii="Times New Roman" w:hAnsi="Times New Roman"/>
          <w:b w:val="false"/>
          <w:i/>
          <w:color w:val="000000"/>
          <w:sz w:val="22"/>
        </w:rPr>
        <w:t xml:space="preserve">Review and submittal. </w:t>
      </w:r>
      <w:r>
        <w:rPr>
          <w:rFonts w:ascii="Times New Roman" w:hAnsi="Times New Roman"/>
          <w:b w:val="false"/>
          <w:i w:val="false"/>
          <w:color w:val="000000"/>
          <w:sz w:val="22"/>
        </w:rPr>
        <w:t xml:space="preserve">The department will review the Tier 3 assessment for compliance with the terms of the approved work plan and based on principles consistent with these rules and Iowa Code chapter </w:t>
      </w:r>
      <w:hyperlink r:id="rId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IV, part 8. Upon approval of the Tier 3 assessment, the department may require corrective action in accordance with </w:t>
      </w:r>
      <w:hyperlink r:id="rId1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5.10.pdf" Type="http://schemas.openxmlformats.org/officeDocument/2006/relationships/hyperlink" Id="rId4"/>
    <Relationship TargetMode="External" Target="https://www.legis.iowa.gov/docs/iac/rule/567.135.12.pdf" Type="http://schemas.openxmlformats.org/officeDocument/2006/relationships/hyperlink" Id="rId5"/>
    <Relationship TargetMode="External" Target="https://www.legis.iowa.gov/docs/iac/rule/567.135.12.pdf" Type="http://schemas.openxmlformats.org/officeDocument/2006/relationships/hyperlink" Id="rId6"/>
    <Relationship TargetMode="External" Target="https://www.legis.iowa.gov/docs/iac/rule/567.135.12.pdf" Type="http://schemas.openxmlformats.org/officeDocument/2006/relationships/hyperlink" Id="rId7"/>
    <Relationship TargetMode="External" Target="https://www.legis.iowa.gov/docs/ico/chapter/455B.pdf" Type="http://schemas.openxmlformats.org/officeDocument/2006/relationships/hyperlink" Id="rId8"/>
    <Relationship TargetMode="External" Target="https://www.legis.iowa.gov/docs/ico/chapter/455B.pdf" Type="http://schemas.openxmlformats.org/officeDocument/2006/relationships/hyperlink" Id="rId9"/>
    <Relationship TargetMode="External" Target="https://www.legis.iowa.gov/docs/iac/rule/567.135.1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