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567—135.10</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2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 xml:space="preserve">A Tier 2 site assessment must be conducted and a site cleanup report submitted for all sites that have not obtained a no action required site classification and for all pathways and chemicals of concern groups that have not obtained no further action clearance as provided in </w:t>
      </w:r>
      <w:hyperlink r:id="rId4">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 xml:space="preserve">(455B). If in the course of conducting a Tier 2 assessment, data indicates the conditions for pathway clearance under Tier 1 no longer exist, the pathway shall be further assessed under this rule. The Tier 2 assessment and report must be completed whenever free product is discovered as provided in </w:t>
      </w:r>
      <w:hyperlink r:id="rId5">
        <w:r>
          <w:rPr>
            <w:rStyle w:val="Hyperlink"/>
            <w:rFonts w:ascii="Times New Roman" w:hAnsi="Times New Roman"/>
            <w:b w:val="false"/>
            <w:i w:val="false"/>
            <w:color w:val="000000"/>
            <w:sz w:val="22"/>
          </w:rPr>
          <w:t>567—135.7</w:t>
        </w:r>
      </w:hyperlink>
      <w:r>
        <w:rPr>
          <w:rFonts w:ascii="Times New Roman" w:hAnsi="Times New Roman"/>
          <w:b w:val="false"/>
          <w:i w:val="false"/>
          <w:color w:val="000000"/>
          <w:sz w:val="22"/>
        </w:rPr>
        <w:t xml:space="preserve">(455B). If the owner or operator elects to complete the Tier 2 site assessment without doing a Tier 1 assessment, all the Tier 1 requirements as provided in </w:t>
      </w:r>
      <w:hyperlink r:id="rId6">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must be met in addition to requirements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Guidance. </w:t>
      </w:r>
      <w:r>
        <w:rPr>
          <w:rFonts w:ascii="Times New Roman" w:hAnsi="Times New Roman"/>
          <w:b w:val="false"/>
          <w:i w:val="false"/>
          <w:color w:val="000000"/>
          <w:sz w:val="22"/>
        </w:rPr>
        <w:t>The Tier 2 site assessment shall be conducted in accordance with the department’s “Tier 2 Site Assessment Guidance” and these rules. The site cleanup report shall be submitted on forms and in a format prescribed by this guidance. The Tier 2 data analysis shall be performed by using computer software or online application developed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At Tier 2, individual pathways may be classified as high risk or low risk or no action required and separate classification criteria may apply to actual and potential receptors for any pathway. A single pathway may have multiple classifications based on actual or potential receptor evaluations. A pathway must meet both the criteria for actual and potential receptors for the pathway to obtain a classification of no action required. Sites may have multiple pathway classifications. For a site to obtain a no action required classification, all pathways must meet the individual pathway criteria for no action required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right-of-way. </w:t>
      </w:r>
      <w:r>
        <w:rPr>
          <w:rFonts w:ascii="Times New Roman" w:hAnsi="Times New Roman"/>
          <w:b w:val="false"/>
          <w:i w:val="false"/>
          <w:color w:val="000000"/>
          <w:sz w:val="22"/>
        </w:rPr>
        <w:t>As a general rule, public right-of-way will not be considered an area of potential receptor exposure except for potential sanitary sewer evaluation under the soil and groundwater vapor pathways (</w:t>
      </w:r>
      <w:hyperlink r:id="rId7">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135.10(2)</w:t>
      </w:r>
      <w:r>
        <w:rPr>
          <w:rFonts w:ascii="Times New Roman" w:hAnsi="Times New Roman"/>
          <w:b w:val="false"/>
          <w:i w:val="false"/>
          <w:color w:val="000000"/>
          <w:sz w:val="22"/>
        </w:rPr>
        <w:t> </w:t>
      </w:r>
      <w:r>
        <w:rPr>
          <w:rFonts w:ascii="Times New Roman" w:hAnsi="Times New Roman"/>
          <w:b w:val="false"/>
          <w:i/>
          <w:color w:val="000000"/>
          <w:sz w:val="22"/>
        </w:rPr>
        <w:t xml:space="preserve">General Tier 2 assessment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The objective of a Tier 2 assessment is to collect site-specific data and with the use of Tier 2 modeling determine what actual or potential receptors could be impacted by chemicals of concern and what concentrations at the source are predicted to achieve protection of these receptors. Both Tier 1 and Tier 2 are based on achieving similar levels of protection of human health,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modeling. </w:t>
      </w:r>
      <w:r>
        <w:rPr>
          <w:rFonts w:ascii="Times New Roman" w:hAnsi="Times New Roman"/>
          <w:b w:val="false"/>
          <w:i w:val="false"/>
          <w:color w:val="000000"/>
          <w:sz w:val="22"/>
        </w:rPr>
        <w:t xml:space="preserve">Tier 2 uses fate and transport models to predict the maximum distance groundwater contamination is expected to move and the distribution of concentrations of chemicals of concern within this area. The model is used for two basic purposes. One, it is used to predict at what levels of concentration contamination would be expected to impact actual and potential receptors. Two, it is used to determine a concentration at the source that if achieved, and after dispersion and degradation, would protect actual and potential receptors at the point of exposure. In predicting the transport of contaminants, the models assume the contaminant plume is at “steady state” such that concentrations throughout the plume have reached a maximum level and are steady or decreasing. The Tier 2 models are only designed to predict transport in a direct line between the source and downgradient to a receptor. In order to more reasonably define a modeled plume in all directions, </w:t>
      </w:r>
      <w:hyperlink r:id="rId9">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“i”</w:t>
      </w:r>
      <w:r>
        <w:rPr>
          <w:rFonts w:ascii="Times New Roman" w:hAnsi="Times New Roman"/>
          <w:b w:val="false"/>
          <w:i w:val="false"/>
          <w:color w:val="000000"/>
          <w:sz w:val="22"/>
        </w:rPr>
        <w:t xml:space="preserve"> defines a method of decreasing modeled concentrations as a percentage of their distance in degrees from the downgradient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vapor models. </w:t>
      </w:r>
      <w:r>
        <w:rPr>
          <w:rFonts w:ascii="Times New Roman" w:hAnsi="Times New Roman"/>
          <w:b w:val="false"/>
          <w:i w:val="false"/>
          <w:color w:val="000000"/>
          <w:sz w:val="22"/>
        </w:rPr>
        <w:t>The soil vapor models are vertical transport models and do not use modeling to predict soil contaminant transport horizontally to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modeling. </w:t>
      </w:r>
      <w:r>
        <w:rPr>
          <w:rFonts w:ascii="Times New Roman" w:hAnsi="Times New Roman"/>
          <w:b w:val="false"/>
          <w:i w:val="false"/>
          <w:color w:val="000000"/>
          <w:sz w:val="22"/>
        </w:rPr>
        <w:t>The soil leaching to groundwater model is a model that predicts the maximum concentrations of chemicals of concern that would be expected in groundwater due to vertical leaching from the area of maximum soil concentrations and then incorporates the groundwater transport models to predict contaminant transport through groundwater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default parameters. </w:t>
      </w:r>
      <w:r>
        <w:rPr>
          <w:rFonts w:ascii="Times New Roman" w:hAnsi="Times New Roman"/>
          <w:b w:val="false"/>
          <w:i w:val="false"/>
          <w:color w:val="000000"/>
          <w:sz w:val="22"/>
        </w:rPr>
        <w:t>The Tier 2 model formulas and applicable parameters are designated in Appendix B and must be followed unless otherwise specified in these rules. Unless otherwise specified, target levels at a point of exposure may be the Tier 1 level(s) or may be determined using site-specific parameters. The target level at a point of exposure is calculated using the Tier 1 formulas in Appendix A and either site-specific measurements or the default values for those parameters identified as “optional” and “site-specific”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Source width. </w:t>
      </w:r>
      <w:r>
        <w:rPr>
          <w:rFonts w:ascii="Times New Roman" w:hAnsi="Times New Roman"/>
          <w:b w:val="false"/>
          <w:i w:val="false"/>
          <w:color w:val="000000"/>
          <w:sz w:val="22"/>
        </w:rPr>
        <w:t>The source width and source length are variables used in modeling and must be determined by the following criteria and as specified in the department’s Tier 2 guidance. The following are not to be used as criteria for defining the extent of the contaminant plumes.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width (equals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in models) for groundwater transport modeling. The sum of group one chemical (benzene, toluene, ethylbenzene, xylenes or “BTEX”) concentrations for each groundwater sample is determined and the location of the sample with the maximum total BTEX is identified. Linear interpolation is used to estimate the area where groundwater concentrations would be expected to exceed 50 percent of the maximum BTEX value, and this area is considered for the source width measurement. The same procedure is used to determine source width for group two chemicals, using TEH in groundwater. The width of the groundwater contamination perpendicular to estimated groundwater flow direction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is determined, and the larger of either group one or group two chemicals is used in the groundwater transport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width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and source length (equals W in models) for soil leaching to groundwater transport modeling. Both the source width perpendicular to the estimated groundwater flow direction (S</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xml:space="preserve">) and the source length parallel to the estimated groundwater flow direction (W) are used in the soil leaching to groundwater model. The sum of BTEX concentrations for each soil sample is determined and the location of the sample with the maximum total BTEX is identified. Concentrations from both the vadose zone and the saturated zone must be considered when determining the maximum. Linear interpolation is used to estimate the area where soil concentrations would be expected to exceed 50 percent of the maximum BTEX value, and this area is considered for the source width and source length measurements. The same procedure is used to determine source width for group 2 chemicals, using TEH in soil. Source width and source length measurements for BTEX in groundwater are also taken following the same linear interpolation criteria in </w:t>
      </w:r>
      <w:hyperlink r:id="rId10">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(1). The source width value used in the model is the greatest of either the soil source width measurements or the groundwater source width measurement. The source length value used in the model is the greatest of either of the soil source length measurements or the groundwater length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Modeled simulation line. </w:t>
      </w:r>
      <w:r>
        <w:rPr>
          <w:rFonts w:ascii="Times New Roman" w:hAnsi="Times New Roman"/>
          <w:b w:val="false"/>
          <w:i w:val="false"/>
          <w:color w:val="000000"/>
          <w:sz w:val="22"/>
        </w:rPr>
        <w:t>The simulation line represents the predicted maximum extent of groundwater contamination and distribution of contaminant concentrations between the source(s) and actual or potential receptor locations. The model calculates the simulation line using maximum concentrations at the source(s) and predicting the amount of dispersion and degradation. Modeled data in the simulation line are compared with actual contaminant concentrations to verify the predictive validity of the model and to make risk classification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Modeled site-specific target level (SSTL) line. </w:t>
      </w:r>
      <w:r>
        <w:rPr>
          <w:rFonts w:ascii="Times New Roman" w:hAnsi="Times New Roman"/>
          <w:b w:val="false"/>
          <w:i w:val="false"/>
          <w:color w:val="000000"/>
          <w:sz w:val="22"/>
        </w:rPr>
        <w:t>The modeled SSTL line represents acceptable levels of contaminant concentrations at points between and including the source(s) and an applicable point(s) of exposure or other point(s) of compliance (ex. a potential receptor point of exposure). The SSTL line is calculated by assuming an applicable target level concentration at the point(s) of exposure or point(s) of compliance and modeling back to the source to determine the maximum concentrations at the source (SSTL) that must be achieved to meet the target level at the point of exposure or compliance. Comparison of contaminant concentrations from actual samples to this SSTL line is used to determine a risk classification and determine appropriate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Crossgradient and upgradient modeling. </w:t>
      </w:r>
      <w:r>
        <w:rPr>
          <w:rFonts w:ascii="Times New Roman" w:hAnsi="Times New Roman"/>
          <w:b w:val="false"/>
          <w:i w:val="false"/>
          <w:color w:val="000000"/>
          <w:sz w:val="22"/>
        </w:rPr>
        <w:t>In determining the SSTL line and the simulation line in directions other than downgradient, the modeled contaminant concentrations are applied to reduced distances as specified in the “Tier 2 Guidance.” The modeled results are applied to 100 percent of the distance within an angle of 30 degrees on either side of the range of downgradient directions as specified in Tier 2 guidance. The modeled results are applied to 20 percent of the distance in the upgradient direction and directly proportional distances between these two outer limits. If the groundwater gradient is less than 0.005 or the groundwater contaminant plume shows no definitive direction or shows directional reversals, the modeled concentrations are applied to 100 percent of the distance in all directions from the source. As the downgradient velocity increases, the upgradient modeled distance is reduced to less than 20 percent of the downgradient modeled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purpose of plume definition at Tier 2 is to obtain sufficient data to determine the impact on actual and potential receptors, to determine and confirm the highest levels of contamination, to verify the validity of the models, and to determine groundwater flow direction. The number and location of borings and monitoring wells and the specificity of plume definition will depend on the pathway or pathways being assessed and the actual or potential receptors of concern. Unless otherwise specified, groundwater and soil contamination shall be defined to Tier 1 levels for the applicable pathways. Linear interpolation between two known concentrations must be used to delineate plume extent. Samples with no concentrations detected shall be considered one-half the detection limit for interpolation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a pathway has obtained clearance under Tier 1, each pathway must be evaluated at Tier 2. Pathways are generally considered complete (unless otherwise specified) and receptors affected if actual receptors or potential receptor points of exposure exist within the modeled contaminant plume using the modeled simulation line calculated to the applicable target level at a point of exposure. If the actual contaminant plume exceeds the modeled plume, the pathway is complete and must be evaluated if actual or potential points of exposure exist within a distance extending 10 percent beyond the edge of the defined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Points of exposure and compliance. </w:t>
      </w:r>
      <w:r>
        <w:rPr>
          <w:rFonts w:ascii="Times New Roman" w:hAnsi="Times New Roman"/>
          <w:b w:val="false"/>
          <w:i w:val="false"/>
          <w:color w:val="000000"/>
          <w:sz w:val="22"/>
        </w:rPr>
        <w:t>For actual receptors, the point(s) of exposure is the receptor. For potential receptors, the potential receptor point(s) of exposure is determined by using actual plume definition or the modeled simulation line to determine all points that exceed the target level(s) for potential receptors. The potential receptor point(s) of exposure is the location(s) closest to the source where a receptor could reasonably exist and that is not subject to an institutional control; for example, the source is the potential receptor point of exposure if not subject to an institutional control or an adjoining property boundary line if that property is not subject to an institutional control. At Tier 2, the point(s) of exposure or potential receptor point(s) of exposure is a point of compliance unless otherwise specified. Other points of compliance are specified by rules and will generally include all points along the SSTL line for purposes of pathway and site classification and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135.10(3)</w:t>
      </w:r>
      <w:r>
        <w:rPr>
          <w:rFonts w:ascii="Times New Roman" w:hAnsi="Times New Roman"/>
          <w:b w:val="false"/>
          <w:i w:val="false"/>
          <w:color w:val="000000"/>
          <w:sz w:val="22"/>
        </w:rPr>
        <w:t> </w:t>
      </w:r>
      <w:r>
        <w:rPr>
          <w:rFonts w:ascii="Times New Roman" w:hAnsi="Times New Roman"/>
          <w:b w:val="false"/>
          <w:i/>
          <w:color w:val="000000"/>
          <w:sz w:val="22"/>
        </w:rPr>
        <w:t xml:space="preserve">Bedrock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As provided in </w:t>
      </w:r>
      <w:hyperlink r:id="rId11">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if bedrock is encountered before groundwater, special assessment procedures under this subrule apply. The Tier 2 assessment procedures apply to the extent they are not inconsistent with this subrule. The objectives of these special procedures are to avoid creating a preferential pathway for contamination through a confining layer to a bedrock aquifer; to avoid creating a preferential pathway to a fractured system, and to determine whether groundwater transport modeling can be used and, if not, what alternative procedures are required. The owner or operator may choose to conduct a Tier 3 assessment under </w:t>
      </w:r>
      <w:hyperlink r:id="rId12">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as an alternative to proceeding under this subrule. For sites where bedrock is encountered before groundwater, there are three general categories of site conditions that determine the assessment procedures that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Nongranular bedrock. Nongranular bedrock is bedrock that is determined to not act as a granular aquifer as provided in </w:t>
      </w:r>
      <w:hyperlink r:id="rId1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(2). Nongranular bedrock generally has some type of fractured system where groundwater transport modeling cannot be applied and that makes it difficult to define the extent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Granular bedrock. Granular bedrock is bedrock that is determined to act as a granular aquifer and for which monitoring wells do not exist at the source. For purposes of this rule, a granular aquifer is one that shows no extraordinary variations or inconsistencies in groundwater elevations across the site, groundwater flow, hydraulic conductivities, or total dissolved solid concentrations among monitoring wells. Although the extent of contamination can be defined in granular bedrock, groundwater transport modeling cannot be used because monitoring wells shall not be installed at the source if soil contamination is present. If soil contamination above a Tier 1 level is not identified or an overexcavation of contaminated soil has successfully removed all soil contamination greater than a Tier 1 level, then monitoring wells can be installed in the source area and the site can be evaluated as exempt 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granular bedrock. Exempt granular bedrock is bedrock that is determined to act as a granular aquifer as provided in </w:t>
      </w:r>
      <w:hyperlink r:id="rId14">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for which monitoring wells exist at the source as of August 15, 1996. Sites in exempt granular bedrock shall be evaluated using regular Tier 1 and Tier 2 procedures in this rule.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Nongranular bedrock is subject to special bedrock assessment procedures even if groundwater monitoring wells exist at the source because the flow is not predictable by the Tier 2 model.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Exempt soil pathways. </w:t>
      </w:r>
      <w:r>
        <w:rPr>
          <w:rFonts w:ascii="Times New Roman" w:hAnsi="Times New Roman"/>
          <w:b w:val="false"/>
          <w:i w:val="false"/>
          <w:color w:val="000000"/>
          <w:sz w:val="22"/>
        </w:rPr>
        <w:t xml:space="preserve">The soil vapor to enclosed space pathway and the soil to water lines pathway shall be assessed under the regular Tier 2 procedures in </w:t>
      </w:r>
      <w:hyperlink r:id="rId15">
        <w:r>
          <w:rPr>
            <w:rStyle w:val="Hyperlink"/>
            <w:rFonts w:ascii="Times New Roman" w:hAnsi="Times New Roman"/>
            <w:b w:val="false"/>
            <w:i w:val="false"/>
            <w:color w:val="000000"/>
            <w:sz w:val="22"/>
          </w:rPr>
          <w:t>135.10(7)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135.10(9)</w:t>
        </w:r>
      </w:hyperlink>
      <w:r>
        <w:rPr>
          <w:rFonts w:ascii="Times New Roman" w:hAnsi="Times New Roman"/>
          <w:b w:val="false"/>
          <w:i w:val="false"/>
          <w:color w:val="000000"/>
          <w:sz w:val="22"/>
        </w:rPr>
        <w:t xml:space="preserve">, respectively. In all cases, the assessment must comply with the policy of avoiding a preferential pathway to groundwater consistent with </w:t>
      </w:r>
      <w:hyperlink r:id="rId17">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Soil and groundwater assessment. </w:t>
      </w:r>
      <w:r>
        <w:rPr>
          <w:rFonts w:ascii="Times New Roman" w:hAnsi="Times New Roman"/>
          <w:b w:val="false"/>
          <w:i w:val="false"/>
          <w:color w:val="000000"/>
          <w:sz w:val="22"/>
        </w:rPr>
        <w:t>The vertical and horizontal extent of soil contamination shall first be defined to Tier 1 levels for the soil leaching to groundwater pathway without drilling into bedrock. A minimum of three groundwater monitoring wells shall be located and installed between 50 to 100 feet beyond the soil contamination Tier 1 levels to avoid creating a preferential pathway. Analytical data as normally required by these rules and guidance must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Soil contamination remediation. </w:t>
      </w:r>
      <w:r>
        <w:rPr>
          <w:rFonts w:ascii="Times New Roman" w:hAnsi="Times New Roman"/>
          <w:b w:val="false"/>
          <w:i w:val="false"/>
          <w:color w:val="000000"/>
          <w:sz w:val="22"/>
        </w:rPr>
        <w:t xml:space="preserve">For all sites where soil contamination exceeds the soil leaching to groundwater Tier 1 levels, soil excavation or other active soil remediation technology must be conducted in accordance with department guidance to reduce concentrations to below this Tier 1 level. Soil remediation monitoring must be conducted in accordance with </w:t>
      </w:r>
      <w:hyperlink r:id="rId1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Groundwater plume definition. </w:t>
      </w:r>
      <w:r>
        <w:rPr>
          <w:rFonts w:ascii="Times New Roman" w:hAnsi="Times New Roman"/>
          <w:b w:val="false"/>
          <w:i w:val="false"/>
          <w:color w:val="000000"/>
          <w:sz w:val="22"/>
        </w:rPr>
        <w:t xml:space="preserve">If it is determined the groundwater acts in a manner consistent with a granular aquifer as provided in </w:t>
      </w:r>
      <w:hyperlink r:id="rId19">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guidance but does not meet the criteria for exemption under </w:t>
      </w:r>
      <w:hyperlink r:id="rId20">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plume must be defined. The policy of avoiding the creation of a preferential pathway to the bedrock aquifer in accordance with </w:t>
      </w:r>
      <w:hyperlink r:id="rId21">
        <w:r>
          <w:rPr>
            <w:rStyle w:val="Hyperlink"/>
            <w:rFonts w:ascii="Times New Roman" w:hAnsi="Times New Roman"/>
            <w:b w:val="false"/>
            <w:i w:val="false"/>
            <w:color w:val="000000"/>
            <w:sz w:val="22"/>
          </w:rPr>
          <w:t>135.8(5)</w:t>
        </w:r>
      </w:hyperlink>
      <w:r>
        <w:rPr>
          <w:rFonts w:ascii="Times New Roman" w:hAnsi="Times New Roman"/>
          <w:b w:val="false"/>
          <w:i w:val="false"/>
          <w:color w:val="000000"/>
          <w:sz w:val="22"/>
        </w:rPr>
        <w:t xml:space="preserve"> must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ingestion pathway. </w:t>
      </w:r>
      <w:r>
        <w:rPr>
          <w:rFonts w:ascii="Times New Roman" w:hAnsi="Times New Roman"/>
          <w:b w:val="false"/>
          <w:i w:val="false"/>
          <w:color w:val="000000"/>
          <w:sz w:val="22"/>
        </w:rPr>
        <w:t xml:space="preserve">Under this subrule, the soil leaching to groundwater pathway only need be evaluated in combination with the groundwater ingestion pathway. Because of the policies requiring soil remediation to the soil leaching to groundwater Tier 1 levels under </w:t>
      </w:r>
      <w:hyperlink r:id="rId22">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the soil leaching pathway target levels applicable to other groundwater transport pathways and other soil pathways would not be exceeded. If a soil leaching to groundwater Tier 1 level is exceeded, the pathway is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ingestion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protected groundwater source is assumed without measurements of hydraulic conductivity for all sites designated as granular or nongranular bedrock.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well receptor evaluation for granular and nongranular bedrock designations. All drinking and non-drinking water wells within 1,000 feet of the source must be identified and tested for chemicals of concern. All public water supply systems within one mile of the source must be identified and raw water tested for chemicals of concern. All area within 1,000 feet of the source is considered a potential receptor point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Target levels. The following target levels apply regardless of granular aquifer designation. If drinking water wells are within 1,000 feet of the source, the applicable target level is the groundwater ingestion pathway Tier 1 level for actual receptors. If non-drinking water wells are within 1,000 feet of the source, the applicable target level is the groundwater ingestion pathway Tier 1 level for potential receptors. For potential wells, the applicable target level is the groundwater ingestion pathway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Sentry well. If the Tier 1 level for actual receptors is exceeded at sites designated as granular bedrock and the receptor has not yet been impacted, a monitoring well shall be placed between the source and an actual receptor, outside the defined plume and approximately 200 feet from the actual receptor. For alternative well placement, the certified groundwater professional must provide justification and obtain department approval. This monitoring well is to be used for monitoring potential groundwater contamination of the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where bedrock is encountered before groundwater shall be classified high risk for this pathway if any of the following conditions exist regardless of granular aquifer determination: The target level at any actual receptor is exceeded; drinking water well receptors are present within 1,000 feet and groundwater concentrations in any monitoring well exceed the groundwater ingestion Tier 1 level for actual receptors; non-drinking water wells are within 1,000 feet and groundwater concentrations in any monitoring well exceed the groundwater ingestion pathway Tier 1 level for potential receptors; or for sites designated nongranular bedrock, if groundwater concentrations for chemicals of concern from any public water system well within one mile of the source exceed 40 percent of the Tier 1 level for actual receptors, and groundwater concentrations in any monitoring well exceed the groundwater ingestion Tier 1 level for actual receptors. Corrective action shall be undertaken as provided in </w:t>
      </w:r>
      <w:hyperlink r:id="rId2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Sites without an actual receptor within 1,000 feet shall be classified as low risk for this pathway if no high risk conditions exist and the Tier 1 level for potential receptors is exceeded. The site is subject to monitoring as provided in </w:t>
      </w:r>
      <w:hyperlink r:id="rId24">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If an actual receptor exists within 1,000 feet, a site designated as granular or nongranular bedrock shall be classified low risk for this pathway when soil contamination has been removed or remediated to below the soil leaching to groundwater Tier 1 levels and all groundwater monitoring wells are non-detect or below the applicable target level for actual and potential receptors. A site may be reclassified to no action required for this pathway after all monitoring wells meet the exit monitoring criteria as specified in </w:t>
      </w:r>
      <w:hyperlink r:id="rId25">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Exit monitoring is required because groundwater monitoring wells are not located at the source or if they are, the data is highly unreliable given the nature of bedrock.) If actual receptors do not exist or have been properly plugged and concentrations exceed the Tier 1 level for potential receptors, institutional controls and notification to permitting authorities may be employed in accordance with </w:t>
      </w:r>
      <w:hyperlink r:id="rId26">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institutional control must prohibit use of groundwater for 1,000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groundwater vapor to enclosed space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Soil gas plume. Soil gas measurements must be taken regardless of granular aquifer determination and in accordance with Tier 2 guidance to determine a soil gas plume. Soil gas where practical should be measured at the soil-bedrock interface. At a minimum, soil gas must be measured at the suspected area of maximum contamination and near the three monitoring wells with the highest concentrations that exceed the Tier 1 level for the groundwater to enclosed space pathway. Where the plume has been defined, soil gas measurements should be taken near wells exceeding the Tier 1 level. Other soil gas measurements must be taken as needed to define the extent of contamination where soil gas measurements exceed the soil gas vapor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gas target levels are those defined in </w:t>
      </w:r>
      <w:hyperlink r:id="rId27">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an actual confined space receptor exists within 50 feet of the soil gas plume based on the soil gas target level as defined in </w:t>
      </w:r>
      <w:hyperlink r:id="rId28">
        <w:r>
          <w:rPr>
            <w:rStyle w:val="Hyperlink"/>
            <w:rFonts w:ascii="Times New Roman" w:hAnsi="Times New Roman"/>
            <w:b w:val="false"/>
            <w:i w:val="false"/>
            <w:color w:val="000000"/>
            <w:sz w:val="22"/>
          </w:rPr>
          <w:t>135.10(6)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Low risk classification. A site designated as granular or nongranular bedrock shall be classified as low risk for this pathway if the soil gas exceeds the vapor target level at any point and no actual confined space receptors exist within 50 feet of the soil gas contaminant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 for the groundwater to water line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Target level. The applicable target level is the Tier 1 level for the specific type of water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highest groundwater elevation is within three feet of the bottom of a water line as provided in </w:t>
      </w:r>
      <w:hyperlink r:id="rId29">
        <w:r>
          <w:rPr>
            <w:rStyle w:val="Hyperlink"/>
            <w:rFonts w:ascii="Times New Roman" w:hAnsi="Times New Roman"/>
            <w:b w:val="false"/>
            <w:i w:val="false"/>
            <w:color w:val="000000"/>
            <w:sz w:val="22"/>
          </w:rPr>
          <w:t>135.10(8)</w:t>
        </w:r>
      </w:hyperlink>
      <w:r>
        <w:rPr>
          <w:rFonts w:ascii="Times New Roman" w:hAnsi="Times New Roman"/>
          <w:b w:val="false"/>
          <w:i/>
          <w:color w:val="000000"/>
          <w:sz w:val="22"/>
        </w:rPr>
        <w:t>“a”</w:t>
      </w:r>
      <w:r>
        <w:rPr>
          <w:rFonts w:ascii="Times New Roman" w:hAnsi="Times New Roman"/>
          <w:b w:val="false"/>
          <w:i w:val="false"/>
          <w:color w:val="000000"/>
          <w:sz w:val="22"/>
        </w:rPr>
        <w:t xml:space="preserve">(1), risk classification cannot be determined as provided in </w:t>
      </w:r>
      <w:hyperlink r:id="rId30">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due to limitations on placement of monitoring wells, and water lines exist within 200 feet of a monitoring well that exceeds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the surface water pathway. </w:t>
      </w:r>
      <w:r>
        <w:rPr>
          <w:rFonts w:ascii="Times New Roman" w:hAnsi="Times New Roman"/>
          <w:b w:val="false"/>
          <w:i w:val="false"/>
          <w:color w:val="000000"/>
          <w:sz w:val="22"/>
        </w:rPr>
        <w:t xml:space="preserve">Any surface water body within 200 feet of the source must be evaluated under the following for sites designated as granular or nongranular bedrock. The provisions of </w:t>
      </w:r>
      <w:hyperlink r:id="rId31">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apply to the extent they are not inconsistent with the following, including the visual inspection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Point of compliance. The monitoring well closest to the surface water body must be used as the point of compliance to evaluate impacts to designated use segments as described in </w:t>
      </w:r>
      <w:hyperlink r:id="rId32">
        <w:r>
          <w:rPr>
            <w:rStyle w:val="Hyperlink"/>
            <w:rFonts w:ascii="Times New Roman" w:hAnsi="Times New Roman"/>
            <w:b w:val="false"/>
            <w:i w:val="false"/>
            <w:color w:val="000000"/>
            <w:sz w:val="22"/>
          </w:rPr>
          <w:t>135.10(10)</w:t>
        </w:r>
      </w:hyperlink>
      <w:r>
        <w:rPr>
          <w:rFonts w:ascii="Times New Roman" w:hAnsi="Times New Roman"/>
          <w:b w:val="false"/>
          <w:i w:val="false"/>
          <w:color w:val="000000"/>
          <w:sz w:val="22"/>
        </w:rPr>
        <w:t xml:space="preserve"> and for general use segments that fail the visual inspection criteria of </w:t>
      </w:r>
      <w:hyperlink r:id="rId33">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surface water criteria are exceeded for a designated use segment, an allowable discharge concentration must be calculated and met at the point of compliance. For general use segments failing the visual inspection criteria, the acutely toxic target level must be met at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High risk classification. A site designated as granular or nongranular bedrock shall be classified high risk for this pathway if the surface water body is within 200 feet of the source, risk classification cannot be determined as per </w:t>
      </w:r>
      <w:hyperlink r:id="rId3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due to limitations on placement of monitoring wells, and the monitoring well closest to the designated use segment exceeds the allowable discharge concentration. A general use segment failing the visual inspection criteria is high risk if, after the sheen is removed, the monitoring well closest to the general use segment exceeds the acutely toxic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Low risk classification. If the allowable discharge concentration is not exceeded at the point of compliance, the site shall be classified as low risk for this pathway and subject to monitoring under </w:t>
      </w:r>
      <w:hyperlink r:id="rId35">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 xml:space="preserve">“l.” </w:t>
      </w:r>
      <w:r>
        <w:rPr>
          <w:rFonts w:ascii="Times New Roman" w:hAnsi="Times New Roman"/>
          <w:b w:val="false"/>
          <w:i w:val="false"/>
          <w:color w:val="000000"/>
          <w:sz w:val="22"/>
        </w:rPr>
        <w:t>The monitoring well closest to the receptor shall serve as the sentry well for monitoring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High risk corrective action response. </w:t>
      </w:r>
      <w:r>
        <w:rPr>
          <w:rFonts w:ascii="Times New Roman" w:hAnsi="Times New Roman"/>
          <w:b w:val="false"/>
          <w:i w:val="false"/>
          <w:color w:val="000000"/>
          <w:sz w:val="22"/>
        </w:rPr>
        <w:t xml:space="preserve">Owners and operators have the option to conduct a Tier 3 assessment in accordance with </w:t>
      </w:r>
      <w:hyperlink r:id="rId36">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For high risk sites, where soil exceeds the soil leaching to groundwater Tier 1 level for actual receptors, soil excavation or other active remediation of soils must be conducted in accordance with department guidance to reduce soil concentrations to below the soil leaching Tier 1 level. Corrective action other than monitoring of groundwater is required at sites designated as nongranular bedrock if the actual receptor has been or is likely to be impacted. Corrective action other than monitoring of groundwater is required at sites designated as granular bedrock if the actual receptor has been impacted or the sentry well required by </w:t>
      </w:r>
      <w:hyperlink r:id="rId37">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(4) has been impacted above Tier 1 levels. Acceptable corrective action for impacted or vulnerable groundwater wells may include active remediation, technological controls, institutional controls, well plugging, relocation, and well reinstallation with construction measures sufficient to prevent contaminant infiltration to the well and to prevent formation of a preferential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ingestion pathway high risk monitoring. For high risk sites designated as nongranular or granular bedrock, if the soil concentrations do not exceed the soil leaching to groundwater Tier 1 levels or have been reduced to this level by corrective action, and corrective action of groundwater is not required as in </w:t>
      </w:r>
      <w:hyperlink r:id="rId38">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“k”</w:t>
      </w:r>
      <w:r>
        <w:rPr>
          <w:rFonts w:ascii="Times New Roman" w:hAnsi="Times New Roman"/>
          <w:b w:val="false"/>
          <w:i w:val="false"/>
          <w:color w:val="000000"/>
          <w:sz w:val="22"/>
        </w:rPr>
        <w:t xml:space="preserve">(1), these sites shall be subject to groundwater monitoring as provided in </w:t>
      </w:r>
      <w:hyperlink r:id="rId39">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“l.”</w:t>
      </w:r>
      <w:r>
        <w:rPr>
          <w:rFonts w:ascii="Times New Roman" w:hAnsi="Times New Roman"/>
          <w:b w:val="false"/>
          <w:i w:val="false"/>
          <w:color w:val="000000"/>
          <w:sz w:val="22"/>
        </w:rPr>
        <w:t xml:space="preserve"> Corrective action other than monitoring of groundwater is required at sites designated as granular bedrock if groundwater concentrations exceed the applicable target level less than 200 feet from an actual receptor. Reevaluation of the potential for impact to actual receptors is required at sites designated as nongranular bedrock if concentrations from monitoring wells increase more than 20 percent of the previous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water line pathways. For high risk sites, active remediation must be conducted to reduce concentrations below the applicable target levels, or water lines and gaskets must be replaced or relocated, including the use of institutional and technological controls. If lines are polybutylene, polyethylene, or asbestos-cement, the lines must be removed or relocated. All water lines that are replaced must be replaced with water line materials and gasket materials of appropriate construction in accordance with current department standards set forth in </w:t>
      </w:r>
      <w:hyperlink r:id="rId40">
        <w:r>
          <w:rPr>
            <w:rStyle w:val="Hyperlink"/>
            <w:rFonts w:ascii="Times New Roman" w:hAnsi="Times New Roman"/>
            <w:b w:val="false"/>
            <w:i w:val="false"/>
            <w:color w:val="000000"/>
            <w:sz w:val="22"/>
          </w:rPr>
          <w:t>567—Chapter 43</w:t>
        </w:r>
      </w:hyperlink>
      <w:r>
        <w:rPr>
          <w:rFonts w:ascii="Times New Roman" w:hAnsi="Times New Roman"/>
          <w:b w:val="false"/>
          <w:i w:val="false"/>
          <w:color w:val="000000"/>
          <w:sz w:val="22"/>
        </w:rPr>
        <w:t xml:space="preserve"> and with no less than nitrile or FKM gaskets or as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pathways. For high risk sites other than groundwater ingestion and water lines, active remediation must be conducted to reduce concentrations below the applicable target levels, including the use of institutional and technological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 xml:space="preserve">For high and low risk sites, annual monitoring at a minimum is required as specified below, and potential receptor status for low risk sites must be confirmed. Annual monitoring may be used to meet the exit requirements for no action required classification in accordance with </w:t>
      </w:r>
      <w:hyperlink r:id="rId41">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All groundwater monitoring wells must be monitored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in granular bedrock designations. The following monitoring wells must be monitored at least annually: a well with detected levels of contamination closest to the leading edge of the groundwater plume between the source and the receptor, and a sentry well with concentrations below the applicable target level consistent with </w:t>
      </w:r>
      <w:hyperlink r:id="rId42">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“g”</w:t>
      </w:r>
      <w:r>
        <w:rPr>
          <w:rFonts w:ascii="Times New Roman" w:hAnsi="Times New Roman"/>
          <w:b w:val="false"/>
          <w:i w:val="false"/>
          <w:color w:val="000000"/>
          <w:sz w:val="22"/>
        </w:rPr>
        <w:t xml:space="preserve">(4) and </w:t>
      </w:r>
      <w:hyperlink r:id="rId43">
        <w:r>
          <w:rPr>
            <w:rStyle w:val="Hyperlink"/>
            <w:rFonts w:ascii="Times New Roman" w:hAnsi="Times New Roman"/>
            <w:b w:val="false"/>
            <w:i w:val="false"/>
            <w:color w:val="000000"/>
            <w:sz w:val="22"/>
          </w:rPr>
          <w:t>135.10(3)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gas. For sites where the soil gas target level is exceeded, annual monitoring of soil gas is required at the suspected area of maximum contamination and between the soil gas plume and any actual receptors within 100 feet of the soil gas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No action required classification. </w:t>
      </w:r>
      <w:r>
        <w:rPr>
          <w:rFonts w:ascii="Times New Roman" w:hAnsi="Times New Roman"/>
          <w:b w:val="false"/>
          <w:i w:val="false"/>
          <w:color w:val="000000"/>
          <w:sz w:val="22"/>
        </w:rPr>
        <w:t>A site may be given a no action required classification after conducting a Tier 2 assessment as provided in this subrule if maximum soil concentrations do not exceed the Tier 1 levels for the soil leaching pathway, and if groundwater exit monitoring criteria and soil gas confirmation sampling are met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in nongranular bedrock designations. Exit monitoring requires that samples from all groundwater monitoring wells must not exceed the applicable target levels for annual sampling for three consecutive years. If soil contamination above a Tier 1 level is not identified or if an overexcavation has successfully removed all soil contamination greater than a Tier 1 level and monitoring wells are installed in the source area, exit monitoring criteria are met when two consecutive samples collected at least six months apart from all monitoring wells show concentrations less than the lowest target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in granular bedrock designations. Exit monitoring must be met in two ways: A monitoring well between the source and the receptor must not exceed applicable target levels for three sampling events, and samples must be separated by at least six months; and the three most recent consecutive groundwater samples from a monitoring well between the source and the receptor with detected levels of contamination must show a steady or declining trend and meet the following criteria: The first of the three samples must be greater than detection limits, concentrations cannot increase more than 20 percent from the first of the three samples to the third sample; concentrations cannot increase more than 20 percent from the previous sample; and samples must be collected at least six months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Soil gas. Confirmation sampling for soil gas must be conducted as specified in </w:t>
      </w:r>
      <w:hyperlink r:id="rId44">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Properly plugged monitoring wells. </w:t>
      </w:r>
      <w:r>
        <w:rPr>
          <w:rFonts w:ascii="Times New Roman" w:hAnsi="Times New Roman"/>
          <w:b w:val="false"/>
          <w:i w:val="false"/>
          <w:color w:val="000000"/>
          <w:sz w:val="22"/>
        </w:rPr>
        <w:t xml:space="preserve">After receiving a no action required classification, all monitoring wells must be properly plugged in accordance with </w:t>
      </w:r>
      <w:hyperlink r:id="rId45">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135.10(4)</w:t>
      </w:r>
      <w:r>
        <w:rPr>
          <w:rFonts w:ascii="Times New Roman" w:hAnsi="Times New Roman"/>
          <w:b w:val="false"/>
          <w:i w:val="false"/>
          <w:color w:val="000000"/>
          <w:sz w:val="22"/>
        </w:rPr>
        <w:t> </w:t>
      </w:r>
      <w:r>
        <w:rPr>
          <w:rFonts w:ascii="Times New Roman" w:hAnsi="Times New Roman"/>
          <w:b w:val="false"/>
          <w:i/>
          <w:color w:val="000000"/>
          <w:sz w:val="22"/>
        </w:rPr>
        <w:t xml:space="preserve">Groundwater ingestion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cleared at Tier 1, this pathway is complete and must be evaluated under any of the following conditions: (1) the first encountered groundwater is a protected groundwater source; or (2) there is a drinking water well or a non-drinking water well within the modeled groundwater plume or the actual plume as provided in </w:t>
      </w:r>
      <w:hyperlink r:id="rId47">
        <w:r>
          <w:rPr>
            <w:rStyle w:val="Hyperlink"/>
            <w:rFonts w:ascii="Times New Roman" w:hAnsi="Times New Roman"/>
            <w:b w:val="false"/>
            <w:i w:val="false"/>
            <w:color w:val="000000"/>
            <w:sz w:val="22"/>
          </w:rPr>
          <w:t>135.10(2)</w:t>
        </w:r>
        <w:r>
          <w:rPr>
            <w:rFonts w:ascii="Times New Roman" w:hAnsi="Times New Roman"/>
            <w:b w:val="false"/>
            <w:i/>
            <w:color w:val="000000"/>
            <w:sz w:val="22"/>
          </w:rPr>
          <w:t>“j”</w:t>
        </w:r>
      </w:hyperlink>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All drinking and non-drinking water wells located within 100 feet of the largest actual plume (defined to the appropriate target level for the receptor type) must be tested, at a minimum, for chemicals of concern as part of the receptor evaluation. Actual plumes refer to groundwater plumes for all chemicals of concern. Untreated or raw water must be collected for analysis unless it is determined to be infeasible or impracticable.</w:t>
      </w:r>
    </w:p>
    <w:p>
      <w:pPr>
        <w:spacing w:before="0" w:after="0"/>
        <w:ind w:left="120"/>
        <w:jc w:val="both"/>
      </w:pPr>
      <w:r>
        <w:rPr>
          <w:rFonts w:ascii="Times New Roman" w:hAnsi="Times New Roman"/>
          <w:b w:val="false"/>
          <w:i w:val="false"/>
          <w:color w:val="000000"/>
          <w:sz w:val="22"/>
        </w:rPr>
        <w:t xml:space="preserve">All existing drinking water wells and non-drinking water wells within the modeled plume or the actual plume as provided in </w:t>
      </w:r>
      <w:hyperlink r:id="rId48">
        <w:r>
          <w:rPr>
            <w:rStyle w:val="Hyperlink"/>
            <w:rFonts w:ascii="Times New Roman" w:hAnsi="Times New Roman"/>
            <w:b w:val="false"/>
            <w:i w:val="false"/>
            <w:color w:val="000000"/>
            <w:sz w:val="22"/>
          </w:rPr>
          <w:t>135.10(4)</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be evaluated as actual receptors. Potential receptors only exist if the groundwater is a protected groundwater source. Potential receptor points of exposure are those points within the modeled plume or actual plume that exceed the potential point of exposure target level. The point(s) of compliance for actual receptor(s) is the receptor. The point(s) of compliance for potential receptor(s) is the potential receptor point of exposure as provided in </w:t>
      </w:r>
      <w:hyperlink r:id="rId49">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For drinking water wells, the target level at the point(s) of exposure is the Tier 1 level for actual receptors. For non-drinking water wells, the target level at the point(s) of exposure is the Tier 1 levels for potential receptors. For potential receptors, the target level at the potential receptor point(s) of exposure is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w:t>
      </w:r>
      <w:r>
        <w:rPr>
          <w:rFonts w:ascii="Times New Roman" w:hAnsi="Times New Roman"/>
          <w:b w:val="false"/>
          <w:i w:val="false"/>
          <w:color w:val="000000"/>
          <w:sz w:val="22"/>
        </w:rPr>
        <w:t xml:space="preserve">The soil leaching to groundwater pathway must be evaluated in accordance with </w:t>
      </w:r>
      <w:hyperlink r:id="rId50">
        <w:r>
          <w:rPr>
            <w:rStyle w:val="Hyperlink"/>
            <w:rFonts w:ascii="Times New Roman" w:hAnsi="Times New Roman"/>
            <w:b w:val="false"/>
            <w:i w:val="false"/>
            <w:color w:val="000000"/>
            <w:sz w:val="22"/>
          </w:rPr>
          <w:t>135.9(5)</w:t>
        </w:r>
      </w:hyperlink>
      <w:r>
        <w:rPr>
          <w:rFonts w:ascii="Times New Roman" w:hAnsi="Times New Roman"/>
          <w:b w:val="false"/>
          <w:i w:val="false"/>
          <w:color w:val="000000"/>
          <w:sz w:val="22"/>
        </w:rPr>
        <w:t xml:space="preserve"> if this pathway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w:t>
      </w:r>
      <w:r>
        <w:rPr>
          <w:rFonts w:ascii="Times New Roman" w:hAnsi="Times New Roman"/>
          <w:b w:val="false"/>
          <w:i w:val="false"/>
          <w:color w:val="000000"/>
          <w:sz w:val="22"/>
        </w:rPr>
        <w:t xml:space="preserve">At Tier 2, the groundwater well located within the modeled plume is assumed to be drawing from the contaminated aquifer, and the groundwater transport model is designed to predict horizontal movement to the well. If the groundwater professional determines that assessment of the vertical movement of contamination is advisable to determine the potential or actual impact to the well source, a Tier 3 assessment of this vertical pathway may be conducted. The groundwater professional shall submit a work plan to the department specifying the assessment methods and objectives for approval in accordance with </w:t>
      </w:r>
      <w:hyperlink r:id="rId51">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 Factors that should be addressed include but are not limited to well depth and construction, radius of influence, hydrogeologic separation of aquifer, preferential pathways, and differing water quality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shall be defined to the applicable Tier 1 level for actual receptors except, where there are no actual receptors and the groundwater is a protected groundwater source, the plume shall be defined to the Tier 1 level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This pathway shall be classified as high risk, low risk or no action required in accordance with </w:t>
      </w:r>
      <w:hyperlink r:id="rId5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Corrective action must be conducted in accordance with </w:t>
      </w:r>
      <w:hyperlink r:id="rId5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Abandonment and plugging of wells in accordance with </w:t>
      </w:r>
      <w:hyperlink r:id="rId54">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is an acceptable corrective action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Use of institutional controls. </w:t>
      </w:r>
      <w:r>
        <w:rPr>
          <w:rFonts w:ascii="Times New Roman" w:hAnsi="Times New Roman"/>
          <w:b w:val="false"/>
          <w:i w:val="false"/>
          <w:color w:val="000000"/>
          <w:sz w:val="22"/>
        </w:rPr>
        <w:t xml:space="preserve">Institutional controls may be used to obtain no action required pathway classification. If the pathway is complete and the concentrations exceed the applicable Tier 1 level(s) for actual receptors, the drinking or non-drinking water well must be properly plugged in accordance with </w:t>
      </w:r>
      <w:hyperlink r:id="rId56">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and the institutional control must prohibit the use of a protected groundwater source (if one exists) within the actual or modeled plume as provided in </w:t>
      </w:r>
      <w:hyperlink r:id="rId58">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If the Tier 1 level is exceeded for potential receptors, the institutional control must prohibit the use of a protected groundwater source within the actual or modeled plume, whichever is greater. If concentrations exceed the Tier 1 level for drinking water wells and the groundwater is a protected groundwater source, the owner or operator must provide notification of the site conditions on a department form to the department water supply section, or if a county has delegated authority, then the designated county authority responsible for issuing private water supply construction permits or regulating non-public water well construction as provided in </w:t>
      </w:r>
      <w:hyperlink r:id="rId59">
        <w:r>
          <w:rPr>
            <w:rStyle w:val="Hyperlink"/>
            <w:rFonts w:ascii="Times New Roman" w:hAnsi="Times New Roman"/>
            <w:b w:val="false"/>
            <w:i w:val="false"/>
            <w:color w:val="000000"/>
            <w:sz w:val="22"/>
          </w:rPr>
          <w:t>567—Chapters 39</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well owners. </w:t>
      </w:r>
      <w:r>
        <w:rPr>
          <w:rFonts w:ascii="Times New Roman" w:hAnsi="Times New Roman"/>
          <w:b w:val="false"/>
          <w:i w:val="false"/>
          <w:color w:val="000000"/>
          <w:sz w:val="22"/>
        </w:rPr>
        <w:t>Upon receipt of a Tier 2 site cleanup report and as soon as practicable, the department shall notify the owner of any public water supply well identified within the Tier 2 site cleanup report that a leaking underground storage tank site is within 2,500 feet and an assessment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135.10(5)</w:t>
      </w:r>
      <w:r>
        <w:rPr>
          <w:rFonts w:ascii="Times New Roman" w:hAnsi="Times New Roman"/>
          <w:b w:val="false"/>
          <w:i w:val="false"/>
          <w:color w:val="000000"/>
          <w:sz w:val="22"/>
        </w:rPr>
        <w:t> </w:t>
      </w:r>
      <w:r>
        <w:rPr>
          <w:rFonts w:ascii="Times New Roman" w:hAnsi="Times New Roman"/>
          <w:b w:val="false"/>
          <w:i/>
          <w:color w:val="000000"/>
          <w:sz w:val="22"/>
        </w:rPr>
        <w:t xml:space="preserve">Soil leaching to groundwater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soil leaching to groundwater pathway is evaluated using a one-dimensional model that predicts vertical movement of contamination through soil to groundwater and transported by the groundwater to a receptor. The model is used to predict the maximum concentrations of chemicals of concern that would be present in groundwater beneath a source that is representative of residual soil contamination and maximum soil concentrations. The predicted groundwater concentrations then must be used as a groundwater source concentration to evaluate its impact on other groundwater transport pathways, including the groundwater ingestion pathway, the groundwater vapor pathway, the groundwater water line pathway and the surface 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This pathway is complete whenever a groundwater transport pathway is complete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soil plume shall be defined to the Tier 1 levels for the soil leaching to groundwater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r>
        <w:rPr>
          <w:rFonts w:ascii="Times New Roman" w:hAnsi="Times New Roman"/>
          <w:b w:val="false"/>
          <w:i w:val="false"/>
          <w:color w:val="000000"/>
          <w:sz w:val="22"/>
        </w:rPr>
        <w:t>Receptors for this pathway are the same as the receptors for each complete groundwater transport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Modeling and target levels. </w:t>
      </w:r>
      <w:r>
        <w:rPr>
          <w:rFonts w:ascii="Times New Roman" w:hAnsi="Times New Roman"/>
          <w:b w:val="false"/>
          <w:i w:val="false"/>
          <w:color w:val="000000"/>
          <w:sz w:val="22"/>
        </w:rPr>
        <w:t xml:space="preserve">The soil and groundwater parameters shall be measured as provided in </w:t>
      </w:r>
      <w:hyperlink r:id="rId61">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soil leaching to groundwater model shall be used to calculate the predicted groundwater source concentration. Each applicable groundwater transport pathway model shall then be used in accordance with the rules for that pathway to predict potential impact to actual receptors, the location of potential receptor points of exposure and the SSTL in groundwater at the source. This SSTL then is used to calculate a SSTL for soil at the source. If the soil concentrations exceed the SSTL for soil, corrective action response shall be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If the maximum soil concentration at the source exceeds the SSTL for soil for actual or potential receptors, corrective action must be taken in accordance with </w:t>
      </w:r>
      <w:hyperlink r:id="rId6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135.10(6)</w:t>
      </w:r>
      <w:r>
        <w:rPr>
          <w:rFonts w:ascii="Times New Roman" w:hAnsi="Times New Roman"/>
          <w:b w:val="false"/>
          <w:i w:val="false"/>
          <w:color w:val="000000"/>
          <w:sz w:val="22"/>
        </w:rPr>
        <w:t> </w:t>
      </w:r>
      <w:r>
        <w:rPr>
          <w:rFonts w:ascii="Times New Roman" w:hAnsi="Times New Roman"/>
          <w:b w:val="false"/>
          <w:i/>
          <w:color w:val="000000"/>
          <w:sz w:val="22"/>
        </w:rPr>
        <w:t xml:space="preserve">Groundwater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63">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the modeled groundwater plume or the actual groundwater plume as provided in </w:t>
      </w:r>
      <w:hyperlink r:id="rId64">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is an actual receptor. For the purpose of Tier 2, a confined space is a basement in a building occupied by humans. Buildings constructed with a concrete slab on grade or buildings constructed without a concrete slab, but with a crawl space are not considered confined spaces. Sanitary sewers are considered confined space receptors and preferential pathways if an occupied building exists within 200 feet of where the sewer line crosses over or through actual or modeled groundwater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65">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within the actual groundwater plume perimeter or modeled groundwater plume perimeter are considered potential receptor points of exposure. Potential receptors are evaluated and target levels established based on the current zoning as provided in </w:t>
      </w:r>
      <w:hyperlink r:id="rId66">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Vapor inhalation hazards.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soil plume must be defined in accordance with </w:t>
      </w:r>
      <w:hyperlink r:id="rId67">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the purposes of estimating source width and source length used in soil leaching to groundwater and groundwater transport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groundwater plume must be defined to the target levels derived from site-specific data as provided in </w:t>
      </w:r>
      <w:hyperlink r:id="rId68">
        <w:r>
          <w:rPr>
            <w:rStyle w:val="Hyperlink"/>
            <w:rFonts w:ascii="Times New Roman" w:hAnsi="Times New Roman"/>
            <w:b w:val="false"/>
            <w:i w:val="false"/>
            <w:color w:val="000000"/>
            <w:sz w:val="22"/>
          </w:rPr>
          <w:t>135.10(6)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groundwater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and potential receptors, groundwater modeling as provided in </w:t>
      </w:r>
      <w:hyperlink r:id="rId69">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is used to calculate the groundwater concentration target level at the point of exposure. Default residential exposure factors, default residential building parameters, and a target risk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residential areas and areas with no zoning. Default nonresidential exposure factors, default nonresidential building parameters, and a target risk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are used to determine target levels for actual receptors and potential receptor points of exposure in nonresidential areas. Default values are provided in Appendices A and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the indoor vapor target levels are designated in </w:t>
      </w:r>
      <w:hyperlink r:id="rId70">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For actual and potential receptors, the soil gas target levels are designated in </w:t>
      </w:r>
      <w:hyperlink r:id="rId7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groundwater concentration target levels at the point of exposure are based on the application of a target risk of 2 x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for carcinogens and a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7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If it can be demonstrated that the groundwater plume has reached steady state concentrations under a confined space, indoor vapor measurements at the point(s) of exposure and soil gas measurements at an alternative point(s) of compliance may be used for the pathway evaluation. When assessing sanitary sewers for pathway clearance, soil gas measurements may be evaluated against the soil gas target levels; however, indoor vapor cannot be used as criteria for pathway clearance. Soil gas measurements shall be taken and analyzed in accordance with </w:t>
      </w:r>
      <w:hyperlink r:id="rId73">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and at locations in the plume where measured groundwater concentrations exceed the levels that are projected by modeling to exist beneath the actual receptor. If measured groundwater concentrations beneath the actual receptor exceed the levels projected from modeling, then the soil gas measurements may be taken either adjacent to the actual receptor in areas expected to exhibit the greatest soil gas measurements or at an alternative point of compliance between the source and receptor where the actual groundwater concentrations exceed the groundwater concentrations that exist beneath the confined space. If the soil gas measurements and confirmation samples taken in accordance with </w:t>
      </w:r>
      <w:hyperlink r:id="rId74">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confined space receptors shall be classified no action required. If the Tier 1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groundwater concentration target level(s) is exceeded at any potential receptor point of exposure based on actual data or modeling, the pathway shall be classified low risk. However, if soil gas measurements taken at the potential receptor point(s) of exposure and alternate point(s) of compliance and confirmation samples do not exceed the target levels in </w:t>
      </w:r>
      <w:hyperlink r:id="rId75">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as to potential receptors, shall be classified no action required.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7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Actual receptors are subject to corrective actions that (1) reduce groundwater concentrations beneath the enclosed space to below the target level; (2) reduce the measured soil gas levels to below the soil gas target levels; (3) reduce the indoor vapor concentrations to below the indoor vapor target level; or (4) reduce the vapor level to below 10 percent of the lower explosive limit (LEL), if applicable. Potential receptors are subject to the monitoring requirements in </w:t>
      </w:r>
      <w:hyperlink r:id="rId77">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groundwater monitoring for this pathway. Institutional or technological controls as provided in </w:t>
      </w:r>
      <w:hyperlink r:id="rId78">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groundwater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i w:val="false"/>
          <w:color w:val="000000"/>
          <w:sz w:val="22"/>
        </w:rPr>
        <w:t>135.10(7)</w:t>
      </w:r>
      <w:r>
        <w:rPr>
          <w:rFonts w:ascii="Times New Roman" w:hAnsi="Times New Roman"/>
          <w:b w:val="false"/>
          <w:i w:val="false"/>
          <w:color w:val="000000"/>
          <w:sz w:val="22"/>
        </w:rPr>
        <w:t> </w:t>
      </w:r>
      <w:r>
        <w:rPr>
          <w:rFonts w:ascii="Times New Roman" w:hAnsi="Times New Roman"/>
          <w:b w:val="false"/>
          <w:i/>
          <w:color w:val="000000"/>
          <w:sz w:val="22"/>
        </w:rPr>
        <w:t xml:space="preserve">Soil vapor to enclosed space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Unless cleared at Tier 1, this pathway is always considered complete for purposes of Tier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Explosive vapor survey. </w:t>
      </w:r>
      <w:r>
        <w:rPr>
          <w:rFonts w:ascii="Times New Roman" w:hAnsi="Times New Roman"/>
          <w:b w:val="false"/>
          <w:i w:val="false"/>
          <w:color w:val="000000"/>
          <w:sz w:val="22"/>
        </w:rPr>
        <w:t xml:space="preserve">If an explosive vapor survey has not been conducted as part of a Tier 1 assessment, an explosive vapor survey of enclosed spaces must be conducted during the Tier 2 assessment in accordance with </w:t>
      </w:r>
      <w:hyperlink r:id="rId79">
        <w:r>
          <w:rPr>
            <w:rStyle w:val="Hyperlink"/>
            <w:rFonts w:ascii="Times New Roman" w:hAnsi="Times New Roman"/>
            <w:b w:val="false"/>
            <w:i w:val="false"/>
            <w:color w:val="000000"/>
            <w:sz w:val="22"/>
          </w:rPr>
          <w:t>135.9(6)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procedures outlined in the department’s Tier 1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space receptor evaluation. </w:t>
      </w:r>
      <w:r>
        <w:rPr>
          <w:rFonts w:ascii="Times New Roman" w:hAnsi="Times New Roman"/>
          <w:b w:val="false"/>
          <w:i w:val="false"/>
          <w:color w:val="000000"/>
          <w:sz w:val="22"/>
        </w:rPr>
        <w:t>Actual and potential receptors are evaluated at Tier 2 for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An existing confined space within 50 feet of the edge of the plume is an actual receptor. For the purpose of Tier 2, a confined space is a basement in a building occupied by humans. Buildings constructed with a concrete slab on grade or buildings constructed without a concrete slab, but with a crawl space are not considered receptors. Sanitary sewers are considered confined space receptors and preferential pathways if an occupied building exists within 200 feet of where the sewer line crosses over or through soil contamination that exceeds the target levels calculated for sewers. The sanitary sewer includes its utility envelope. The point of exposure is the receptor and points of compliance include the locations where target level measurements may be taken as provided in </w:t>
      </w:r>
      <w:hyperlink r:id="rId80">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Potential receptors are confined spaces that do not presently exist but could exist in the future. Areas where soil concentrations are greater than the Tier 1 level applicable to residential areas or alternative target levels for nonresidential areas as specified in </w:t>
      </w:r>
      <w:hyperlink r:id="rId81">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are considered potential receptor points of exposure. Potential receptors are evaluated and target levels established based on the current zoning. An area with no zoning is considered residential. The potential receptor point of exposure is a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Vapor inhalation hazards. </w:t>
      </w:r>
      <w:r>
        <w:rPr>
          <w:rFonts w:ascii="Times New Roman" w:hAnsi="Times New Roman"/>
          <w:b w:val="false"/>
          <w:i w:val="false"/>
          <w:color w:val="000000"/>
          <w:sz w:val="22"/>
        </w:rPr>
        <w:t>Owners and operators may be required to address vapor inhalation hazards in occupied spaces other than confined spaces as defined in these rules when evidence arises that would give the department a reasonable basis to believe vapor hazards are present or may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 xml:space="preserve">The soil plume must be defined to the Tier 1 level for this pathway unless vapor measurements taken at the area(s) with the maximum levels of soil contamination do not exceed the soil gas target level in </w:t>
      </w:r>
      <w:hyperlink r:id="rId82">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If soil gas measurements taken from the area(s) of maximum soil concentration do not exceed target levels, confirmation sampling must be conducted in accordance with </w:t>
      </w:r>
      <w:hyperlink r:id="rId83">
        <w:r>
          <w:rPr>
            <w:rStyle w:val="Hyperlink"/>
            <w:rFonts w:ascii="Times New Roman" w:hAnsi="Times New Roman"/>
            <w:b w:val="false"/>
            <w:i w:val="false"/>
            <w:color w:val="000000"/>
            <w:sz w:val="22"/>
          </w:rPr>
          <w:t>135.12(6)</w:t>
        </w:r>
      </w:hyperlink>
      <w:r>
        <w:rPr>
          <w:rFonts w:ascii="Times New Roman" w:hAnsi="Times New Roman"/>
          <w:b w:val="false"/>
          <w:i/>
          <w:color w:val="000000"/>
          <w:sz w:val="22"/>
        </w:rPr>
        <w:t>“c”</w:t>
      </w:r>
      <w:r>
        <w:rPr>
          <w:rFonts w:ascii="Times New Roman" w:hAnsi="Times New Roman"/>
          <w:b w:val="false"/>
          <w:i w:val="false"/>
          <w:color w:val="000000"/>
          <w:sz w:val="22"/>
        </w:rPr>
        <w:t xml:space="preserve"> prior to proposing a no action pathway classification.</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Target levels can be based on soil concentrations, soil gas measurements, and indoor vapor measurements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actual receptors, the soil concentration target level is the Tier 1 level. For potential receptors, the soil concentration target level for residential areas and areas with no zoning is the Tier 1 level. For areas zoned nonresidential, the target level is calculated using the default nonresidential exposure factors and building parameters from Appendix A and a target risk of 10</w:t>
      </w:r>
      <w:r>
        <w:rPr>
          <w:rFonts w:ascii="Times New Roman" w:hAnsi="Times New Roman"/>
          <w:b w:val="false"/>
          <w:i w:val="false"/>
          <w:color w:val="000000"/>
          <w:sz w:val="11"/>
          <w:vertAlign w:val="superscript"/>
        </w:rPr>
        <w:t xml:space="preserve">-4 </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indoor vapor target levels apply to actual receptors other than sanitary sewers and the soil gas target levels apply to all actual and potential receptors. These levels were derived from the ASTM indoor air inhalation and the soil vapor to enclosed space models designated in Appendix A.</w:t>
      </w:r>
    </w:p>
    <w:tbl>
      <w:tblPr>
        <w:tblW w:w="0" w:type="auto"/>
        <w:tblCellSpacing w:w="0" w:type="auto"/>
        <w:tblBorders>
          <w:top w:val="none"/>
          <w:left w:val="none"/>
          <w:bottom w:val="none"/>
          <w:right w:val="none"/>
          <w:insideH w:val="none"/>
          <w:insideV w:val="none"/>
        </w:tblBorders>
        <w:tblLayout w:type="fixed"/>
      </w:tblPr>
      <w:tblGrid>
        <w:gridCol w:w="1896"/>
        <w:gridCol w:w="3816"/>
        <w:gridCol w:w="3240"/>
      </w:tblGrid>
      <w:tr>
        <w:trPr>
          <w:trHeight w:val="315"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Indoor Vapor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val="false"/>
                <w:i w:val="false"/>
                <w:color w:val="000000"/>
                <w:sz w:val="14"/>
                <w:vertAlign w:val="subscript"/>
              </w:rPr>
              <w:t>air</w:t>
            </w:r>
            <w:r>
              <w:rPr>
                <w:rFonts w:ascii="Times New Roman" w:hAnsi="Times New Roman"/>
                <w:b/>
                <w:i w:val="false"/>
                <w:color w:val="000000"/>
                <w:sz w:val="14"/>
              </w:rPr>
              <w:t>)</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Soil Gas (</w:t>
            </w:r>
            <w:r>
              <w:rPr>
                <w:rFonts w:ascii="Times New Roman" w:hAnsi="Times New Roman"/>
                <w:b w:val="false"/>
                <w:i w:val="false"/>
                <w:color w:val="000000"/>
                <w:sz w:val="14"/>
              </w:rPr>
              <w:t>µ</w:t>
            </w:r>
            <w:r>
              <w:rPr>
                <w:rFonts w:ascii="Times New Roman" w:hAnsi="Times New Roman"/>
                <w:b/>
                <w:i w:val="false"/>
                <w:color w:val="000000"/>
                <w:sz w:val="14"/>
              </w:rPr>
              <w:t>g/m</w:t>
            </w:r>
            <w:r>
              <w:rPr>
                <w:rFonts w:ascii="Times New Roman" w:hAnsi="Times New Roman"/>
                <w:b w:val="false"/>
                <w:i w:val="false"/>
                <w:color w:val="000000"/>
                <w:sz w:val="14"/>
                <w:vertAlign w:val="superscript"/>
              </w:rPr>
              <w:t>3</w:t>
            </w:r>
            <w:r>
              <w:rPr>
                <w:rFonts w:ascii="Times New Roman" w:hAnsi="Times New Roman"/>
                <w:b/>
                <w:i w:val="false"/>
                <w:color w:val="000000"/>
                <w:sz w:val="14"/>
              </w:rPr>
              <w:t>)</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Benzene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39.2</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600,000</w:t>
            </w:r>
          </w:p>
        </w:tc>
      </w:tr>
      <w:tr>
        <w:trPr>
          <w:trHeight w:val="180" w:hRule="atLeast"/>
        </w:trPr>
        <w:tc>
          <w:tcPr>
            <w:tcW w:w="18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Toluene</w:t>
            </w:r>
          </w:p>
        </w:tc>
        <w:tc>
          <w:tcPr>
            <w:tcW w:w="38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555</w:t>
            </w:r>
          </w:p>
        </w:tc>
        <w:tc>
          <w:tcPr>
            <w:tcW w:w="32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9,250,000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Sanitary sewers are treated as human health receptors, and soil concentration target levels at the point of exposure are based on application of a target risk of 2 x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for carcinogens and hazard quotient of 2 for noncarcinogens.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Actual receptors. Confined space receptors may be evaluated using soil gas measurements and indoor vapor measurements. When assessing sanitary sewers for pathway clearance, soil gas measurements may be evaluated against the soil gas target levels, however, indoor vapor cannot be used as criteria for pathway clearance. Soil gas measurements shall be taken adjacent to the actual receptor or at an alternative point of compliance between the source and receptor such as the property boundary and in accordance with </w:t>
      </w:r>
      <w:hyperlink r:id="rId84">
        <w:r>
          <w:rPr>
            <w:rStyle w:val="Hyperlink"/>
            <w:rFonts w:ascii="Times New Roman" w:hAnsi="Times New Roman"/>
            <w:b w:val="false"/>
            <w:i w:val="false"/>
            <w:color w:val="000000"/>
            <w:sz w:val="22"/>
          </w:rPr>
          <w:t>135.16(5)</w:t>
        </w:r>
      </w:hyperlink>
      <w:r>
        <w:rPr>
          <w:rFonts w:ascii="Times New Roman" w:hAnsi="Times New Roman"/>
          <w:b w:val="false"/>
          <w:i w:val="false"/>
          <w:color w:val="000000"/>
          <w:sz w:val="22"/>
        </w:rPr>
        <w:t xml:space="preserve"> and the department’s Tier 2 guidance. If the soil gas measurements and confirmation samples taken in accordance with </w:t>
      </w:r>
      <w:hyperlink r:id="rId85">
        <w:r>
          <w:rPr>
            <w:rStyle w:val="Hyperlink"/>
            <w:rFonts w:ascii="Times New Roman" w:hAnsi="Times New Roman"/>
            <w:b w:val="false"/>
            <w:i w:val="false"/>
            <w:color w:val="000000"/>
            <w:sz w:val="22"/>
          </w:rPr>
          <w:t>135.12(6)</w:t>
        </w:r>
        <w:r>
          <w:rPr>
            <w:rFonts w:ascii="Times New Roman" w:hAnsi="Times New Roman"/>
            <w:b w:val="false"/>
            <w:i/>
            <w:color w:val="000000"/>
            <w:sz w:val="22"/>
          </w:rPr>
          <w:t>“c”</w:t>
        </w:r>
      </w:hyperlink>
      <w:r>
        <w:rPr>
          <w:rFonts w:ascii="Times New Roman" w:hAnsi="Times New Roman"/>
          <w:b w:val="false"/>
          <w:i w:val="false"/>
          <w:color w:val="000000"/>
          <w:sz w:val="22"/>
        </w:rPr>
        <w:t xml:space="preserve"> do not exceed the soil gas target levels, the pathway as to actual receptors shall be classified no action required. If the soil gas target levels are exceeded, either the pathway shall be classified high risk, or indoor vapor measurements may be taken in accordance with the department’s Tier 2 guidance. If indoor vapor measurements and confirmation samples do not exceed the indoor vapor target levels, the pathway as to actual receptors shall be classified no action required. If the indoor vapor target levels are exceeded, the pathway shall be classified high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Potential receptors. If the potential receptor target level(s) based on soil concentrations is exceeded at any potential receptor point of exposure, the pathway shall be classified low risk. However, if soil gas measurements taken at the potential receptor point(s) of exposure and alternate point(s) of compliance and confirmation samples do not exceed the target levels in </w:t>
      </w:r>
      <w:hyperlink r:id="rId86">
        <w:r>
          <w:rPr>
            <w:rStyle w:val="Hyperlink"/>
            <w:rFonts w:ascii="Times New Roman" w:hAnsi="Times New Roman"/>
            <w:b w:val="false"/>
            <w:i w:val="false"/>
            <w:color w:val="000000"/>
            <w:sz w:val="22"/>
          </w:rPr>
          <w:t>135.10(7)</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pathway shall be classified no action required as to potential receptors. If the target level(s) for potential sanitary sewer receptors is exceeded, the pathway shall be classified as low risk. Where the area of potential receptor exposure includes public right-of-way, the pathway may be classified as no action required if the owner or operator provides sufficient documentation to establish that there are no foreseeable plans for construction of sanitary sewers through the area of potential receptor exposure. The municipal authority must acknowledge consent to the no action required classification whenever target levels are exceeded. If the municipal authority reports that it has confirmed plans for construction of sanitary sewers through the area of potential receptor exposure, the pathway shall be reevaluated as an actual receptor.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action required, corrective action for this pathway must be conducted as provided in </w:t>
      </w:r>
      <w:hyperlink r:id="rId8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in accordance with department Tier 2 guidance. Actual receptors are subject to corrective actions that (1) reduce the indoor vapor concentrations to below the target level; (2) reduce measured soil gas levels to below the soil gas target levels; and (3) if applicable, reduce the vapor level to below 10 percent of the lower explosive limit (LEL). Potential receptors are subject to monitoring requirements as provided in </w:t>
      </w:r>
      <w:hyperlink r:id="rId88">
        <w:r>
          <w:rPr>
            <w:rStyle w:val="Hyperlink"/>
            <w:rFonts w:ascii="Times New Roman" w:hAnsi="Times New Roman"/>
            <w:b w:val="false"/>
            <w:i w:val="false"/>
            <w:color w:val="000000"/>
            <w:sz w:val="22"/>
          </w:rPr>
          <w:t>135.12(5)</w:t>
        </w:r>
      </w:hyperlink>
      <w:r>
        <w:rPr>
          <w:rFonts w:ascii="Times New Roman" w:hAnsi="Times New Roman"/>
          <w:b w:val="false"/>
          <w:i w:val="false"/>
          <w:color w:val="000000"/>
          <w:sz w:val="22"/>
        </w:rPr>
        <w:t xml:space="preserve">. Soil vapor monitoring may be conducted in lieu of soil monitoring for this pathway. Institutional or technological controls as provided in </w:t>
      </w:r>
      <w:hyperlink r:id="rId8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Municipal authority notification for potential sewer receptors. </w:t>
      </w:r>
      <w:r>
        <w:rPr>
          <w:rFonts w:ascii="Times New Roman" w:hAnsi="Times New Roman"/>
          <w:b w:val="false"/>
          <w:i w:val="false"/>
          <w:color w:val="000000"/>
          <w:sz w:val="22"/>
        </w:rPr>
        <w:t>The municipal authority responsible for sewer construction must be notified of the environmental conditions whenever target level(s) is exceeded for potential sanitary sewers. The notification must show the area where soil concentrations and soil gas samples exceed target levels. The owner or operator must acknowledge what plans, if any, exist for construction of sanitary sewers through the area of potential receptor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135.10(8)</w:t>
      </w:r>
      <w:r>
        <w:rPr>
          <w:rFonts w:ascii="Times New Roman" w:hAnsi="Times New Roman"/>
          <w:b w:val="false"/>
          <w:i w:val="false"/>
          <w:color w:val="000000"/>
          <w:sz w:val="22"/>
        </w:rPr>
        <w:t> </w:t>
      </w:r>
      <w:r>
        <w:rPr>
          <w:rFonts w:ascii="Times New Roman" w:hAnsi="Times New Roman"/>
          <w:b w:val="false"/>
          <w:i/>
          <w:color w:val="000000"/>
          <w:sz w:val="22"/>
        </w:rPr>
        <w:t xml:space="preserve">Groundwater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receptors include all water lines where the highest groundwater elevation is higher than three feet below the bottom of the water line at the measured or predicted points of exposure. The highest groundwater elevation is the estimated average of the highest measured groundwater elevations for each year. All water lines must be evaluated for this pathway regardless of distance from the source and regardless of the Tier 1 evaluation, if the lines are in areas with actual data above the applicable Tier 1 level and modeled data above the SSTL line. If actual data exceeds modeled data, then all water lines are considered actual receptors if they are within a distance extending 10 percent beyond the edge of the contaminant plume defined by the actual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the first encountered groundwater is less than 20 feet deep and where actual data or modeled data are above Tier 1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point(s) of exposure is the water line, and the points of compliance are monitoring wells between the source and the water line that would be effective in monitoring whether the line has been or may be impacted by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If this pathway is complete for an actual receptor, the groundwater plume must be defined to the Tier 1 levels, with an emphasis between the source and any actual water lines. The water inside the water lines shall be analyzed for all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 xml:space="preserve">Groundwater modeling as provided in </w:t>
      </w:r>
      <w:hyperlink r:id="rId90">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and site-specific target levels. The soil leaching to groundwater pathway must be evaluated to ensure contaminated soil will not cause future groundwater concentrations to exceed site-specific target levels.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91">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The water quality inside the water lines is not a criterion for clearance of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a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9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If the concentrations of chemicals of concern in a water line exceed the Tier 1 levels for actual receptors for the groundwater ingestion pathway, immediate corrective action must be conducted to eliminate exposure to the water, including but not limited to replacement of the line with an approved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135.10(9)</w:t>
      </w:r>
      <w:r>
        <w:rPr>
          <w:rFonts w:ascii="Times New Roman" w:hAnsi="Times New Roman"/>
          <w:b w:val="false"/>
          <w:i w:val="false"/>
          <w:color w:val="000000"/>
          <w:sz w:val="22"/>
        </w:rPr>
        <w:t> </w:t>
      </w:r>
      <w:r>
        <w:rPr>
          <w:rFonts w:ascii="Times New Roman" w:hAnsi="Times New Roman"/>
          <w:b w:val="false"/>
          <w:i/>
          <w:color w:val="000000"/>
          <w:sz w:val="22"/>
        </w:rPr>
        <w:t xml:space="preserve">Soil to water line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and 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water lines must be evaluated for this pathway regardless of distance from the source if the lines are in areas where Tier 1 levels are exceeded. Actual receptors include all water lines within ten feet of the soil plume defined to the Tier 1 level unless it can be demonstrated that the water line inside the soil plume is not in contact with the soil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Potential receptors include all areas where Tier 1 levels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extent of soil contamination must be defined to Tier 1 levels for the chemicals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Target level. </w:t>
      </w:r>
      <w:r>
        <w:rPr>
          <w:rFonts w:ascii="Times New Roman" w:hAnsi="Times New Roman"/>
          <w:b w:val="false"/>
          <w:i w:val="false"/>
          <w:color w:val="000000"/>
          <w:sz w:val="22"/>
        </w:rPr>
        <w:t>The point(s) of exposure includes all areas within ten feet of the water line. The target level at the point(s) of exposure is the Tier 1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Pathway classification. </w:t>
      </w:r>
      <w:r>
        <w:rPr>
          <w:rFonts w:ascii="Times New Roman" w:hAnsi="Times New Roman"/>
          <w:b w:val="false"/>
          <w:i w:val="false"/>
          <w:color w:val="000000"/>
          <w:sz w:val="22"/>
        </w:rPr>
        <w:t xml:space="preserve">Upon completion of evaluation of analytical results of appropriate samples, the pathway must be classified high risk, low risk or no further action as provided in </w:t>
      </w:r>
      <w:hyperlink r:id="rId9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Measurements of water quality inside the water lines may be required, but are not allowed as criteria to clear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Utility company notification. </w:t>
      </w:r>
      <w:r>
        <w:rPr>
          <w:rFonts w:ascii="Times New Roman" w:hAnsi="Times New Roman"/>
          <w:b w:val="false"/>
          <w:i w:val="false"/>
          <w:color w:val="000000"/>
          <w:sz w:val="22"/>
        </w:rPr>
        <w:t>The utility company that supplies water service to the area must be notified of all actual and potential water line impacts as soon as knowledge of the potential risk is determined. If the extent of contamination has been defined, this information must be included in utility company notification, and any previous notification made at Tier 1 must be amended to include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actual receptors, unless the pathway is classified as no further action, corrective action for this pathway must be conducted as provided in </w:t>
      </w:r>
      <w:hyperlink r:id="rId94">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potential receptors, upon utility company notification, no further action will be required for this pathway for potential receptors.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135.10(10)</w:t>
      </w:r>
      <w:r>
        <w:rPr>
          <w:rFonts w:ascii="Times New Roman" w:hAnsi="Times New Roman"/>
          <w:b w:val="false"/>
          <w:i w:val="false"/>
          <w:color w:val="000000"/>
          <w:sz w:val="22"/>
        </w:rPr>
        <w:t> </w:t>
      </w:r>
      <w:r>
        <w:rPr>
          <w:rFonts w:ascii="Times New Roman" w:hAnsi="Times New Roman"/>
          <w:b w:val="false"/>
          <w:i/>
          <w:color w:val="000000"/>
          <w:sz w:val="22"/>
        </w:rPr>
        <w:t xml:space="preserve">Surface water pathway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Pathway completeness. </w:t>
      </w:r>
      <w:r>
        <w:rPr>
          <w:rFonts w:ascii="Times New Roman" w:hAnsi="Times New Roman"/>
          <w:b w:val="false"/>
          <w:i w:val="false"/>
          <w:color w:val="000000"/>
          <w:sz w:val="22"/>
        </w:rPr>
        <w:t xml:space="preserve">Unless maximum concentrations are less than the applicable Tier 1 levels, this pathway is complete and must be evaluated under any of the following conditions: (1) there is a designated use surface water within the modeled groundwater plume or the actual plume as provided in </w:t>
      </w:r>
      <w:hyperlink r:id="rId95">
        <w:r>
          <w:rPr>
            <w:rStyle w:val="Hyperlink"/>
            <w:rFonts w:ascii="Times New Roman" w:hAnsi="Times New Roman"/>
            <w:b w:val="false"/>
            <w:i w:val="false"/>
            <w:color w:val="000000"/>
            <w:sz w:val="22"/>
          </w:rPr>
          <w:t>135.10(2)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or (2) any surface water body that failed the Tier 1 visual inspection as provided in </w:t>
      </w:r>
      <w:hyperlink r:id="rId96">
        <w:r>
          <w:rPr>
            <w:rStyle w:val="Hyperlink"/>
            <w:rFonts w:ascii="Times New Roman" w:hAnsi="Times New Roman"/>
            <w:b w:val="false"/>
            <w:i w:val="false"/>
            <w:color w:val="000000"/>
            <w:sz w:val="22"/>
          </w:rPr>
          <w:t>135.9(10)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Visual inspection. </w:t>
      </w:r>
      <w:r>
        <w:rPr>
          <w:rFonts w:ascii="Times New Roman" w:hAnsi="Times New Roman"/>
          <w:b w:val="false"/>
          <w:i w:val="false"/>
          <w:color w:val="000000"/>
          <w:sz w:val="22"/>
        </w:rPr>
        <w:t xml:space="preserve">A visual inspection must be conducted according to </w:t>
      </w:r>
      <w:hyperlink r:id="rId97">
        <w:r>
          <w:rPr>
            <w:rStyle w:val="Hyperlink"/>
            <w:rFonts w:ascii="Times New Roman" w:hAnsi="Times New Roman"/>
            <w:b w:val="false"/>
            <w:i w:val="false"/>
            <w:color w:val="000000"/>
            <w:sz w:val="22"/>
          </w:rPr>
          <w:t>135.9(10)</w:t>
        </w:r>
      </w:hyperlink>
      <w:r>
        <w:rPr>
          <w:rFonts w:ascii="Times New Roman" w:hAnsi="Times New Roman"/>
          <w:b w:val="false"/>
          <w:i/>
          <w:color w:val="000000"/>
          <w:sz w:val="22"/>
        </w:rPr>
        <w:t>“c.”</w:t>
      </w:r>
      <w:r>
        <w:rPr>
          <w:rFonts w:ascii="Times New Roman" w:hAnsi="Times New Roman"/>
          <w:b w:val="false"/>
          <w:i w:val="false"/>
          <w:color w:val="000000"/>
          <w:sz w:val="22"/>
        </w:rPr>
        <w:t xml:space="preserve"> If a sheen or residue from a petroleum-regulated substance is present, soil and groundwater sampling must be conducted to identify the source of the release and to define the extent of the contaminant plume to the levels acutely toxic to aquatic life as provided in </w:t>
      </w:r>
      <w:hyperlink r:id="rId98">
        <w:r>
          <w:rPr>
            <w:rStyle w:val="Hyperlink"/>
            <w:rFonts w:ascii="Times New Roman" w:hAnsi="Times New Roman"/>
            <w:b w:val="false"/>
            <w:i w:val="false"/>
            <w:color w:val="000000"/>
            <w:sz w:val="22"/>
          </w:rPr>
          <w:t>567—subrule 61.3(2)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Receptor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Surface water criteria apply only to designated use segments of surface water bodies as provided in </w:t>
      </w:r>
      <w:hyperlink r:id="rId99">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the surface water body is a designated use segment and if maximum groundwater concentrations exceed applicable surface water criteria, the extent of contamination must be defined as provided in </w:t>
      </w:r>
      <w:hyperlink r:id="rId101">
        <w:r>
          <w:rPr>
            <w:rStyle w:val="Hyperlink"/>
            <w:rFonts w:ascii="Times New Roman" w:hAnsi="Times New Roman"/>
            <w:b w:val="false"/>
            <w:i w:val="false"/>
            <w:color w:val="000000"/>
            <w:sz w:val="22"/>
          </w:rPr>
          <w:t>135.10(10)</w:t>
        </w:r>
      </w:hyperlink>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point of compliance for measuring chemicals of concern at the point of exposure is the groundwater adjacent to the surface water body because surface water must be protected for low flow conditions. In-stream measurements of concentrations are not allowed as a basis for no further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visual inspection indicates the presence of a petroleum sheen in a general use segment within 200 feet of the source, as defined in </w:t>
      </w:r>
      <w:hyperlink r:id="rId102">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segment must be evaluated as an actual receptor. The point of compliance for measuring chemicals of concern at the point of exposure is the groundwater adjacent to the general use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Plume definition. </w:t>
      </w:r>
      <w:r>
        <w:rPr>
          <w:rFonts w:ascii="Times New Roman" w:hAnsi="Times New Roman"/>
          <w:b w:val="false"/>
          <w:i w:val="false"/>
          <w:color w:val="000000"/>
          <w:sz w:val="22"/>
        </w:rPr>
        <w:t>The groundwater plume must be defined to the surface water criteria levels for designated use segment receptors and to the acutely toxic levels for general use segment receptors, with an emphasis between the source and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Target levels. </w:t>
      </w:r>
      <w:r>
        <w:rPr>
          <w:rFonts w:ascii="Times New Roman" w:hAnsi="Times New Roman"/>
          <w:b w:val="false"/>
          <w:i w:val="false"/>
          <w:color w:val="000000"/>
          <w:sz w:val="22"/>
        </w:rPr>
        <w:t>Determining target levels for this pathway involves a two-step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Groundwater modeling as provided in </w:t>
      </w:r>
      <w:hyperlink r:id="rId103">
        <w:r>
          <w:rPr>
            <w:rStyle w:val="Hyperlink"/>
            <w:rFonts w:ascii="Times New Roman" w:hAnsi="Times New Roman"/>
            <w:b w:val="false"/>
            <w:i w:val="false"/>
            <w:color w:val="000000"/>
            <w:sz w:val="22"/>
          </w:rPr>
          <w:t>135.10(2)</w:t>
        </w:r>
      </w:hyperlink>
      <w:r>
        <w:rPr>
          <w:rFonts w:ascii="Times New Roman" w:hAnsi="Times New Roman"/>
          <w:b w:val="false"/>
          <w:i w:val="false"/>
          <w:color w:val="000000"/>
          <w:sz w:val="22"/>
        </w:rPr>
        <w:t xml:space="preserve"> must be used to calculate the projected concentrations of chemicals of concern at the point of compliance. If the modeled concentrations or field data at the point of compliance exceed surface water criteria for designated use segments, an allowable discharge concentration must be calculated. If the projected concentrations and actual concentrations at the point of compliance do not exceed surface water criteria, no further action is required to assess this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water quality section will calculate the allowable discharge concentration using information provided by the certified groundwater professional on a department form. Required information includes, at a minimum, the site location and a discharge flow rate calculated according to the department’s Tier 2 guidance. The allowable discharge concentration is the target level that must be met adjacent to the surface water body that is the point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target level at the point of exposure/compliance for general use segments subject to evaluation is the acutely toxic levels established by the department under </w:t>
      </w:r>
      <w:hyperlink r:id="rId104">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and </w:t>
      </w:r>
      <w:hyperlink r:id="rId105">
        <w:r>
          <w:rPr>
            <w:rStyle w:val="Hyperlink"/>
            <w:rFonts w:ascii="Times New Roman" w:hAnsi="Times New Roman"/>
            <w:b w:val="false"/>
            <w:i w:val="false"/>
            <w:color w:val="000000"/>
            <w:sz w:val="22"/>
          </w:rPr>
          <w:t>567—subrule 62.8(2)</w:t>
        </w:r>
      </w:hyperlink>
      <w:r>
        <w:rPr>
          <w:rFonts w:ascii="Times New Roman" w:hAnsi="Times New Roman"/>
          <w:b w:val="false"/>
          <w:i w:val="false"/>
          <w:color w:val="000000"/>
          <w:sz w:val="22"/>
        </w:rPr>
        <w:t xml:space="preserve">. If the modeled concentrations of contaminant concentrations at the point of exposure/compliance exceed the acutely toxic levels, modeling must be used to determine site classifications and corrective action in accordance with </w:t>
      </w:r>
      <w:hyperlink r:id="rId10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Pathway evaluation and classification. </w:t>
      </w:r>
      <w:r>
        <w:rPr>
          <w:rFonts w:ascii="Times New Roman" w:hAnsi="Times New Roman"/>
          <w:b w:val="false"/>
          <w:i w:val="false"/>
          <w:color w:val="000000"/>
          <w:sz w:val="22"/>
        </w:rPr>
        <w:t xml:space="preserve">Upon completion of evaluation of analytical results of appropriate samples and modeled data, the pathway must be classified high risk, low risk or no further action as provided in </w:t>
      </w:r>
      <w:hyperlink r:id="rId10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general use segments, as defined in </w:t>
      </w:r>
      <w:hyperlink r:id="rId108">
        <w:r>
          <w:rPr>
            <w:rStyle w:val="Hyperlink"/>
            <w:rFonts w:ascii="Times New Roman" w:hAnsi="Times New Roman"/>
            <w:b w:val="false"/>
            <w:i w:val="false"/>
            <w:color w:val="000000"/>
            <w:sz w:val="22"/>
          </w:rPr>
          <w:t>567—subrule 61.3(1)</w:t>
        </w:r>
      </w:hyperlink>
      <w:r>
        <w:rPr>
          <w:rFonts w:ascii="Times New Roman" w:hAnsi="Times New Roman"/>
          <w:b w:val="false"/>
          <w:i w:val="false"/>
          <w:color w:val="000000"/>
          <w:sz w:val="22"/>
        </w:rPr>
        <w:t xml:space="preserve">, if the groundwater professional determines there is no sheen or residue present or if the site is not the source of the sheen or residue or if the sheen does not consist of petroleum-regulated substances, no further action is required for assessment of this pathway. If a petroleum-regulated substance sheen is present, the pathway is high risk and subject to classification in accordance with </w:t>
      </w:r>
      <w:hyperlink r:id="rId109">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designated use segments, as provided in </w:t>
      </w:r>
      <w:hyperlink r:id="rId110">
        <w:r>
          <w:rPr>
            <w:rStyle w:val="Hyperlink"/>
            <w:rFonts w:ascii="Times New Roman" w:hAnsi="Times New Roman"/>
            <w:b w:val="false"/>
            <w:i w:val="false"/>
            <w:color w:val="000000"/>
            <w:sz w:val="22"/>
          </w:rPr>
          <w:t>567—subrules 61.3(1)</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if projected concentrations of chemicals of concern and actual contaminant concentrations at the point of compliance do not exceed the target level adjacent to the surface water, and the groundwater professional determines there is no sheen or residue present, no further action is required for assessment of this pathway.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response. </w:t>
      </w:r>
      <w:r>
        <w:rPr>
          <w:rFonts w:ascii="Times New Roman" w:hAnsi="Times New Roman"/>
          <w:b w:val="false"/>
          <w:i w:val="false"/>
          <w:color w:val="000000"/>
          <w:sz w:val="22"/>
        </w:rPr>
        <w:t xml:space="preserve">Unless the pathway is classified as no further action, corrective action for this pathway must be conducted as provided in </w:t>
      </w:r>
      <w:hyperlink r:id="rId112">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For surface water bodies failing the visual inspection criteria, corrective action must eliminate the sheen and reduce concentrations to below the site specific target level in accordance with </w:t>
      </w:r>
      <w:hyperlink r:id="rId113">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135.10(11)</w:t>
      </w:r>
      <w:r>
        <w:rPr>
          <w:rFonts w:ascii="Times New Roman" w:hAnsi="Times New Roman"/>
          <w:b w:val="false"/>
          <w:i w:val="false"/>
          <w:color w:val="000000"/>
          <w:sz w:val="22"/>
        </w:rPr>
        <w:t> </w:t>
      </w:r>
      <w:r>
        <w:rPr>
          <w:rFonts w:ascii="Times New Roman" w:hAnsi="Times New Roman"/>
          <w:b w:val="false"/>
          <w:i/>
          <w:color w:val="000000"/>
          <w:sz w:val="22"/>
        </w:rPr>
        <w:t xml:space="preserve">Tier 2 submission and review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submit a Tier 2 site cleanup report within 180 days of the date the department approves or is deemed to approve a Tier 1 assessment report under </w:t>
      </w:r>
      <w:hyperlink r:id="rId114">
        <w:r>
          <w:rPr>
            <w:rStyle w:val="Hyperlink"/>
            <w:rFonts w:ascii="Times New Roman" w:hAnsi="Times New Roman"/>
            <w:b w:val="false"/>
            <w:i w:val="false"/>
            <w:color w:val="000000"/>
            <w:sz w:val="22"/>
          </w:rPr>
          <w:t>135.9(12)</w:t>
        </w:r>
      </w:hyperlink>
      <w:r>
        <w:rPr>
          <w:rFonts w:ascii="Times New Roman" w:hAnsi="Times New Roman"/>
          <w:b w:val="false"/>
          <w:i w:val="false"/>
          <w:color w:val="000000"/>
          <w:sz w:val="22"/>
        </w:rPr>
        <w:t xml:space="preserve">. If the owner or operator has elected to conduct a Tier 2 assessment instead of a Tier 1, or a Tier 2 assessment is required due to the presence of free product under </w:t>
      </w:r>
      <w:hyperlink r:id="rId115">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the Tier 2 site cleanup report must be submitted within 180 days of the date the release was confirmed. The department may establish an alternative schedule for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cleanup report completeness and accuracy. A Tier 2 site cleanup report is considered to be complete if it contains all the information and data required by this rule and the department’s Tier 2 guidance. The report is considered accurate if the information and data are reasonably reliable based first on the standards in these rules and department guidance, and second, on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groundwater professional responsible for completion of the Tier 2 site assessment and preparation of the report must accompany each Tier 2 site cleanup report with a certification as set out below:</w:t>
      </w:r>
    </w:p>
    <w:p>
      <w:pPr>
        <w:spacing w:before="0" w:after="0"/>
        <w:ind w:left="120"/>
        <w:jc w:val="both"/>
      </w:pPr>
      <w:r>
        <w:rPr>
          <w:rFonts w:ascii="Times New Roman" w:hAnsi="Times New Roman"/>
          <w:b w:val="false"/>
          <w:i w:val="false"/>
          <w:color w:val="000000"/>
          <w:sz w:val="22"/>
        </w:rPr>
        <w:t xml:space="preserve">I, __________________________________, groundwater professional certification number __________________, am familiar with all applicable requirements of Iowa Code section </w:t>
      </w:r>
      <w:hyperlink r:id="rId116">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all rules and procedures adopted thereunder including, but not limited to, the Department of Natural Resources’ Tier 2 guidance. Based on my knowledge of those documents and the information I have prepared and reviewed regarding this site, UST registration number __________________, LUST No.____________, I certify that this document is complete and accurate as provided in </w:t>
      </w:r>
      <w:hyperlink r:id="rId117">
        <w:r>
          <w:rPr>
            <w:rStyle w:val="Hyperlink"/>
            <w:rFonts w:ascii="Times New Roman" w:hAnsi="Times New Roman"/>
            <w:b w:val="false"/>
            <w:i w:val="false"/>
            <w:color w:val="000000"/>
            <w:sz w:val="22"/>
          </w:rPr>
          <w:t>135.10(11)</w:t>
        </w:r>
      </w:hyperlink>
      <w:r>
        <w:rPr>
          <w:rFonts w:ascii="Times New Roman" w:hAnsi="Times New Roman"/>
          <w:b w:val="false"/>
          <w:i w:val="false"/>
          <w:color w:val="000000"/>
          <w:sz w:val="22"/>
        </w:rPr>
        <w:t xml:space="preserve"> and meets the applicable requirements of the Tier 2 site cleanup report.</w:t>
      </w:r>
    </w:p>
    <w:p>
      <w:pPr>
        <w:spacing w:before="0" w:after="0"/>
        <w:ind w:left="120"/>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groundwater professional’s certified Tier 2 report, the groundwater professional’s proposed site classification for the site shall be determinative unless, within 90 days of receipt, the department identifies material information in the report that is inaccurate or incomplete. Material information may be data found to be inaccurate or incomplete or a report that lacks information that, if accurate and complete, would result in a different site or pathway classification than proposed by the certified groundwater professional. If the department determines that the site cleanup report is inaccurate or incomplete, the department shall notify the groundwater professional of the inaccurate or incomplete information within 90 days of receipt of the report and shall work with the groundwater professional and the party responsible for cleanup to obtain correct information or additional information necessary to appropriately classify the site. If the groundwater professional recommends proceeding to Tier 3, the groundwater professional’s site classification and any pathway classification recommendations subject to or influenced by a Tier 3 assessment shall not be considered determinative until the Tier 3 report is submitted for review as provided in </w:t>
      </w:r>
      <w:hyperlink r:id="rId118">
        <w:r>
          <w:rPr>
            <w:rStyle w:val="Hyperlink"/>
            <w:rFonts w:ascii="Times New Roman" w:hAnsi="Times New Roman"/>
            <w:b w:val="false"/>
            <w:i w:val="false"/>
            <w:color w:val="000000"/>
            <w:sz w:val="22"/>
          </w:rPr>
          <w:t>567—135.11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action required” site classification is proposed, the department shall review the report in accordance with </w:t>
      </w:r>
      <w:hyperlink r:id="rId119">
        <w:r>
          <w:rPr>
            <w:rStyle w:val="Hyperlink"/>
            <w:rFonts w:ascii="Times New Roman" w:hAnsi="Times New Roman"/>
            <w:b w:val="false"/>
            <w:i w:val="false"/>
            <w:color w:val="000000"/>
            <w:sz w:val="22"/>
          </w:rPr>
          <w:t>135.12(6)</w:t>
        </w:r>
      </w:hyperlink>
      <w:r>
        <w:rPr>
          <w:rFonts w:ascii="Times New Roman" w:hAnsi="Times New Roman"/>
          <w:b w:val="false"/>
          <w:i w:val="false"/>
          <w:color w:val="000000"/>
          <w:sz w:val="22"/>
        </w:rPr>
        <w:t xml:space="preserve"> and the review standards in </w:t>
      </w:r>
      <w:hyperlink r:id="rId120">
        <w:r>
          <w:rPr>
            <w:rStyle w:val="Hyperlink"/>
            <w:rFonts w:ascii="Times New Roman" w:hAnsi="Times New Roman"/>
            <w:b w:val="false"/>
            <w:i w:val="false"/>
            <w:color w:val="000000"/>
            <w:sz w:val="22"/>
          </w:rPr>
          <w:t>135.10(11)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in the interest of minimizing environmental or public health risks and promoting a more effective cleanup, require owners and operators to begin cleanup of soil and groundwater before the Tier 2 site cleanup report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2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9.pdf" Type="http://schemas.openxmlformats.org/officeDocument/2006/relationships/hyperlink" Id="rId4"/>
    <Relationship TargetMode="External" Target="https://www.legis.iowa.gov/docs/iac/rule/567.135.7.pdf" Type="http://schemas.openxmlformats.org/officeDocument/2006/relationships/hyperlink" Id="rId5"/>
    <Relationship TargetMode="External" Target="https://www.legis.iowa.gov/docs/iac/rule/567.135.9.pdf" Type="http://schemas.openxmlformats.org/officeDocument/2006/relationships/hyperlink" Id="rId6"/>
    <Relationship TargetMode="External" Target="https://www.legis.iowa.gov/docs/iac/rule/567.135.10.pdf" Type="http://schemas.openxmlformats.org/officeDocument/2006/relationships/hyperlink" Id="rId7"/>
    <Relationship TargetMode="External" Target="https://www.legis.iowa.gov/docs/iac/rule/567.135.10.pdf" Type="http://schemas.openxmlformats.org/officeDocument/2006/relationships/hyperlink" Id="rId8"/>
    <Relationship TargetMode="External" Target="https://www.legis.iowa.gov/docs/iac/rule/567.135.10.pdf" Type="http://schemas.openxmlformats.org/officeDocument/2006/relationships/hyperlink" Id="rId9"/>
    <Relationship TargetMode="External" Target="https://www.legis.iowa.gov/docs/iac/rule/567.135.10.pdf" Type="http://schemas.openxmlformats.org/officeDocument/2006/relationships/hyperlink" Id="rId10"/>
    <Relationship TargetMode="External" Target="https://www.legis.iowa.gov/docs/iac/rule/567.135.8.pdf" Type="http://schemas.openxmlformats.org/officeDocument/2006/relationships/hyperlink" Id="rId11"/>
    <Relationship TargetMode="External" Target="https://www.legis.iowa.gov/docs/iac/rule/567.135.11.pdf" Type="http://schemas.openxmlformats.org/officeDocument/2006/relationships/hyperlink" Id="rId12"/>
    <Relationship TargetMode="External" Target="https://www.legis.iowa.gov/docs/iac/rule/567.135.10.pdf" Type="http://schemas.openxmlformats.org/officeDocument/2006/relationships/hyperlink" Id="rId13"/>
    <Relationship TargetMode="External" Target="https://www.legis.iowa.gov/docs/iac/rule/567.135.10.pdf" Type="http://schemas.openxmlformats.org/officeDocument/2006/relationships/hyperlink" Id="rId14"/>
    <Relationship TargetMode="External" Target="https://www.legis.iowa.gov/docs/iac/rule/567.135.10.pdf" Type="http://schemas.openxmlformats.org/officeDocument/2006/relationships/hyperlink" Id="rId15"/>
    <Relationship TargetMode="External" Target="https://www.legis.iowa.gov/docs/iac/rule/567.135.10.pdf" Type="http://schemas.openxmlformats.org/officeDocument/2006/relationships/hyperlink" Id="rId16"/>
    <Relationship TargetMode="External" Target="https://www.legis.iowa.gov/docs/iac/rule/567.135.8.pdf" Type="http://schemas.openxmlformats.org/officeDocument/2006/relationships/hyperlink" Id="rId17"/>
    <Relationship TargetMode="External" Target="https://www.legis.iowa.gov/docs/iac/rule/567.135.12.pdf" Type="http://schemas.openxmlformats.org/officeDocument/2006/relationships/hyperlink" Id="rId18"/>
    <Relationship TargetMode="External" Target="https://www.legis.iowa.gov/docs/iac/rule/567.135.10.pdf" Type="http://schemas.openxmlformats.org/officeDocument/2006/relationships/hyperlink" Id="rId19"/>
    <Relationship TargetMode="External" Target="https://www.legis.iowa.gov/docs/iac/rule/567.135.10.pdf" Type="http://schemas.openxmlformats.org/officeDocument/2006/relationships/hyperlink" Id="rId20"/>
    <Relationship TargetMode="External" Target="https://www.legis.iowa.gov/docs/iac/rule/567.135.8.pdf" Type="http://schemas.openxmlformats.org/officeDocument/2006/relationships/hyperlink" Id="rId21"/>
    <Relationship TargetMode="External" Target="https://www.legis.iowa.gov/docs/iac/rule/567.135.10.pdf" Type="http://schemas.openxmlformats.org/officeDocument/2006/relationships/hyperlink" Id="rId22"/>
    <Relationship TargetMode="External" Target="https://www.legis.iowa.gov/docs/iac/rule/567.135.10.pdf" Type="http://schemas.openxmlformats.org/officeDocument/2006/relationships/hyperlink" Id="rId23"/>
    <Relationship TargetMode="External" Target="https://www.legis.iowa.gov/docs/iac/rule/567.135.10.pdf" Type="http://schemas.openxmlformats.org/officeDocument/2006/relationships/hyperlink" Id="rId24"/>
    <Relationship TargetMode="External" Target="https://www.legis.iowa.gov/docs/iac/rule/567.135.10.pdf" Type="http://schemas.openxmlformats.org/officeDocument/2006/relationships/hyperlink" Id="rId25"/>
    <Relationship TargetMode="External" Target="https://www.legis.iowa.gov/docs/iac/rule/567.135.10.pdf" Type="http://schemas.openxmlformats.org/officeDocument/2006/relationships/hyperlink" Id="rId26"/>
    <Relationship TargetMode="External" Target="https://www.legis.iowa.gov/docs/iac/rule/567.135.10.pdf" Type="http://schemas.openxmlformats.org/officeDocument/2006/relationships/hyperlink" Id="rId27"/>
    <Relationship TargetMode="External" Target="https://www.legis.iowa.gov/docs/iac/rule/567.135.10.pdf" Type="http://schemas.openxmlformats.org/officeDocument/2006/relationships/hyperlink" Id="rId28"/>
    <Relationship TargetMode="External" Target="https://www.legis.iowa.gov/docs/iac/rule/567.135.10.pdf" Type="http://schemas.openxmlformats.org/officeDocument/2006/relationships/hyperlink" Id="rId29"/>
    <Relationship TargetMode="External" Target="https://www.legis.iowa.gov/docs/iac/rule/567.135.12.pdf" Type="http://schemas.openxmlformats.org/officeDocument/2006/relationships/hyperlink" Id="rId30"/>
    <Relationship TargetMode="External" Target="https://www.legis.iowa.gov/docs/iac/rule/567.135.10.pdf" Type="http://schemas.openxmlformats.org/officeDocument/2006/relationships/hyperlink" Id="rId31"/>
    <Relationship TargetMode="External" Target="https://www.legis.iowa.gov/docs/iac/rule/567.135.10.pdf" Type="http://schemas.openxmlformats.org/officeDocument/2006/relationships/hyperlink" Id="rId32"/>
    <Relationship TargetMode="External" Target="https://www.legis.iowa.gov/docs/iac/rule/567.135.10.pdf" Type="http://schemas.openxmlformats.org/officeDocument/2006/relationships/hyperlink" Id="rId33"/>
    <Relationship TargetMode="External" Target="https://www.legis.iowa.gov/docs/iac/rule/567.135.12.pdf" Type="http://schemas.openxmlformats.org/officeDocument/2006/relationships/hyperlink" Id="rId34"/>
    <Relationship TargetMode="External" Target="https://www.legis.iowa.gov/docs/iac/rule/567.135.10.pdf" Type="http://schemas.openxmlformats.org/officeDocument/2006/relationships/hyperlink" Id="rId35"/>
    <Relationship TargetMode="External" Target="https://www.legis.iowa.gov/docs/iac/rule/567.135.11.pdf" Type="http://schemas.openxmlformats.org/officeDocument/2006/relationships/hyperlink" Id="rId36"/>
    <Relationship TargetMode="External" Target="https://www.legis.iowa.gov/docs/iac/rule/567.135.10.pdf" Type="http://schemas.openxmlformats.org/officeDocument/2006/relationships/hyperlink" Id="rId37"/>
    <Relationship TargetMode="External" Target="https://www.legis.iowa.gov/docs/iac/rule/567.135.10.pdf" Type="http://schemas.openxmlformats.org/officeDocument/2006/relationships/hyperlink" Id="rId38"/>
    <Relationship TargetMode="External" Target="https://www.legis.iowa.gov/docs/iac/rule/567.135.10.pdf" Type="http://schemas.openxmlformats.org/officeDocument/2006/relationships/hyperlink" Id="rId39"/>
    <Relationship TargetMode="External" Target="https://www.legis.iowa.gov/docs/iac/chapter/567.43.pdf" Type="http://schemas.openxmlformats.org/officeDocument/2006/relationships/hyperlink" Id="rId40"/>
    <Relationship TargetMode="External" Target="https://www.legis.iowa.gov/docs/iac/rule/567.135.10.pdf" Type="http://schemas.openxmlformats.org/officeDocument/2006/relationships/hyperlink" Id="rId41"/>
    <Relationship TargetMode="External" Target="https://www.legis.iowa.gov/docs/iac/rule/567.135.10.pdf" Type="http://schemas.openxmlformats.org/officeDocument/2006/relationships/hyperlink" Id="rId42"/>
    <Relationship TargetMode="External" Target="https://www.legis.iowa.gov/docs/iac/rule/567.135.10.pdf" Type="http://schemas.openxmlformats.org/officeDocument/2006/relationships/hyperlink" Id="rId43"/>
    <Relationship TargetMode="External" Target="https://www.legis.iowa.gov/docs/iac/rule/567.135.12.pdf" Type="http://schemas.openxmlformats.org/officeDocument/2006/relationships/hyperlink" Id="rId44"/>
    <Relationship TargetMode="External" Target="https://www.legis.iowa.gov/docs/iac/chapter/567.39.pdf" Type="http://schemas.openxmlformats.org/officeDocument/2006/relationships/hyperlink" Id="rId45"/>
    <Relationship TargetMode="External" Target="https://www.legis.iowa.gov/docs/iac/chapter/567.49.pdf" Type="http://schemas.openxmlformats.org/officeDocument/2006/relationships/hyperlink" Id="rId46"/>
    <Relationship TargetMode="External" Target="https://www.legis.iowa.gov/docs/iac/rule/567.135.10.pdf" Type="http://schemas.openxmlformats.org/officeDocument/2006/relationships/hyperlink" Id="rId47"/>
    <Relationship TargetMode="External" Target="https://www.legis.iowa.gov/docs/iac/rule/567.135.10.pdf" Type="http://schemas.openxmlformats.org/officeDocument/2006/relationships/hyperlink" Id="rId48"/>
    <Relationship TargetMode="External" Target="https://www.legis.iowa.gov/docs/iac/rule/567.135.10.pdf" Type="http://schemas.openxmlformats.org/officeDocument/2006/relationships/hyperlink" Id="rId49"/>
    <Relationship TargetMode="External" Target="https://www.legis.iowa.gov/docs/iac/rule/567.135.9.pdf" Type="http://schemas.openxmlformats.org/officeDocument/2006/relationships/hyperlink" Id="rId50"/>
    <Relationship TargetMode="External" Target="https://www.legis.iowa.gov/docs/iac/rule/567.135.11.pdf" Type="http://schemas.openxmlformats.org/officeDocument/2006/relationships/hyperlink" Id="rId51"/>
    <Relationship TargetMode="External" Target="https://www.legis.iowa.gov/docs/iac/rule/567.135.12.pdf" Type="http://schemas.openxmlformats.org/officeDocument/2006/relationships/hyperlink" Id="rId52"/>
    <Relationship TargetMode="External" Target="https://www.legis.iowa.gov/docs/iac/rule/567.135.12.pdf" Type="http://schemas.openxmlformats.org/officeDocument/2006/relationships/hyperlink" Id="rId53"/>
    <Relationship TargetMode="External" Target="https://www.legis.iowa.gov/docs/iac/chapter/567.39.pdf" Type="http://schemas.openxmlformats.org/officeDocument/2006/relationships/hyperlink" Id="rId54"/>
    <Relationship TargetMode="External" Target="https://www.legis.iowa.gov/docs/iac/chapter/567.49.pdf" Type="http://schemas.openxmlformats.org/officeDocument/2006/relationships/hyperlink" Id="rId55"/>
    <Relationship TargetMode="External" Target="https://www.legis.iowa.gov/docs/iac/chapter/567.39.pdf" Type="http://schemas.openxmlformats.org/officeDocument/2006/relationships/hyperlink" Id="rId56"/>
    <Relationship TargetMode="External" Target="https://www.legis.iowa.gov/docs/iac/chapter/567.49.pdf" Type="http://schemas.openxmlformats.org/officeDocument/2006/relationships/hyperlink" Id="rId57"/>
    <Relationship TargetMode="External" Target="https://www.legis.iowa.gov/docs/iac/rule/567.135.10.pdf" Type="http://schemas.openxmlformats.org/officeDocument/2006/relationships/hyperlink" Id="rId58"/>
    <Relationship TargetMode="External" Target="https://www.legis.iowa.gov/docs/iac/chapter/567.39.pdf" Type="http://schemas.openxmlformats.org/officeDocument/2006/relationships/hyperlink" Id="rId59"/>
    <Relationship TargetMode="External" Target="https://www.legis.iowa.gov/docs/iac/chapter/567.49.pdf" Type="http://schemas.openxmlformats.org/officeDocument/2006/relationships/hyperlink" Id="rId60"/>
    <Relationship TargetMode="External" Target="https://www.legis.iowa.gov/docs/iac/rule/567.135.10.pdf" Type="http://schemas.openxmlformats.org/officeDocument/2006/relationships/hyperlink" Id="rId61"/>
    <Relationship TargetMode="External" Target="https://www.legis.iowa.gov/docs/iac/rule/567.135.12.pdf" Type="http://schemas.openxmlformats.org/officeDocument/2006/relationships/hyperlink" Id="rId62"/>
    <Relationship TargetMode="External" Target="https://www.legis.iowa.gov/docs/iac/rule/567.135.9.pdf" Type="http://schemas.openxmlformats.org/officeDocument/2006/relationships/hyperlink" Id="rId63"/>
    <Relationship TargetMode="External" Target="https://www.legis.iowa.gov/docs/iac/rule/567.135.10.pdf" Type="http://schemas.openxmlformats.org/officeDocument/2006/relationships/hyperlink" Id="rId64"/>
    <Relationship TargetMode="External" Target="https://www.legis.iowa.gov/docs/iac/rule/567.135.10.pdf" Type="http://schemas.openxmlformats.org/officeDocument/2006/relationships/hyperlink" Id="rId65"/>
    <Relationship TargetMode="External" Target="https://www.legis.iowa.gov/docs/iac/rule/567.135.10.pdf" Type="http://schemas.openxmlformats.org/officeDocument/2006/relationships/hyperlink" Id="rId66"/>
    <Relationship TargetMode="External" Target="https://www.legis.iowa.gov/docs/iac/rule/567.135.10.pdf" Type="http://schemas.openxmlformats.org/officeDocument/2006/relationships/hyperlink" Id="rId67"/>
    <Relationship TargetMode="External" Target="https://www.legis.iowa.gov/docs/iac/rule/567.135.10.pdf" Type="http://schemas.openxmlformats.org/officeDocument/2006/relationships/hyperlink" Id="rId68"/>
    <Relationship TargetMode="External" Target="https://www.legis.iowa.gov/docs/iac/rule/567.135.10.pdf" Type="http://schemas.openxmlformats.org/officeDocument/2006/relationships/hyperlink" Id="rId69"/>
    <Relationship TargetMode="External" Target="https://www.legis.iowa.gov/docs/iac/rule/567.135.10.pdf" Type="http://schemas.openxmlformats.org/officeDocument/2006/relationships/hyperlink" Id="rId70"/>
    <Relationship TargetMode="External" Target="https://www.legis.iowa.gov/docs/iac/rule/567.135.10.pdf" Type="http://schemas.openxmlformats.org/officeDocument/2006/relationships/hyperlink" Id="rId71"/>
    <Relationship TargetMode="External" Target="https://www.legis.iowa.gov/docs/iac/rule/567.135.12.pdf" Type="http://schemas.openxmlformats.org/officeDocument/2006/relationships/hyperlink" Id="rId72"/>
    <Relationship TargetMode="External" Target="https://www.legis.iowa.gov/docs/iac/rule/567.135.16.pdf" Type="http://schemas.openxmlformats.org/officeDocument/2006/relationships/hyperlink" Id="rId73"/>
    <Relationship TargetMode="External" Target="https://www.legis.iowa.gov/docs/iac/rule/567.135.12.pdf" Type="http://schemas.openxmlformats.org/officeDocument/2006/relationships/hyperlink" Id="rId74"/>
    <Relationship TargetMode="External" Target="https://www.legis.iowa.gov/docs/iac/rule/567.135.10.pdf" Type="http://schemas.openxmlformats.org/officeDocument/2006/relationships/hyperlink" Id="rId75"/>
    <Relationship TargetMode="External" Target="https://www.legis.iowa.gov/docs/iac/rule/567.135.12.pdf" Type="http://schemas.openxmlformats.org/officeDocument/2006/relationships/hyperlink" Id="rId76"/>
    <Relationship TargetMode="External" Target="https://www.legis.iowa.gov/docs/iac/rule/567.135.12.pdf" Type="http://schemas.openxmlformats.org/officeDocument/2006/relationships/hyperlink" Id="rId77"/>
    <Relationship TargetMode="External" Target="https://www.legis.iowa.gov/docs/iac/rule/567.135.12.pdf" Type="http://schemas.openxmlformats.org/officeDocument/2006/relationships/hyperlink" Id="rId78"/>
    <Relationship TargetMode="External" Target="https://www.legis.iowa.gov/docs/iac/rule/567.135.9.pdf" Type="http://schemas.openxmlformats.org/officeDocument/2006/relationships/hyperlink" Id="rId79"/>
    <Relationship TargetMode="External" Target="https://www.legis.iowa.gov/docs/iac/rule/567.135.10.pdf" Type="http://schemas.openxmlformats.org/officeDocument/2006/relationships/hyperlink" Id="rId80"/>
    <Relationship TargetMode="External" Target="https://www.legis.iowa.gov/docs/iac/rule/567.135.10.pdf" Type="http://schemas.openxmlformats.org/officeDocument/2006/relationships/hyperlink" Id="rId81"/>
    <Relationship TargetMode="External" Target="https://www.legis.iowa.gov/docs/iac/rule/567.135.10.pdf" Type="http://schemas.openxmlformats.org/officeDocument/2006/relationships/hyperlink" Id="rId82"/>
    <Relationship TargetMode="External" Target="https://www.legis.iowa.gov/docs/iac/rule/567.135.12.pdf" Type="http://schemas.openxmlformats.org/officeDocument/2006/relationships/hyperlink" Id="rId83"/>
    <Relationship TargetMode="External" Target="https://www.legis.iowa.gov/docs/iac/rule/567.135.16.pdf" Type="http://schemas.openxmlformats.org/officeDocument/2006/relationships/hyperlink" Id="rId84"/>
    <Relationship TargetMode="External" Target="https://www.legis.iowa.gov/docs/iac/rule/567.135.12.pdf" Type="http://schemas.openxmlformats.org/officeDocument/2006/relationships/hyperlink" Id="rId85"/>
    <Relationship TargetMode="External" Target="https://www.legis.iowa.gov/docs/iac/rule/567.135.10.pdf" Type="http://schemas.openxmlformats.org/officeDocument/2006/relationships/hyperlink" Id="rId86"/>
    <Relationship TargetMode="External" Target="https://www.legis.iowa.gov/docs/iac/rule/567.135.12.pdf" Type="http://schemas.openxmlformats.org/officeDocument/2006/relationships/hyperlink" Id="rId87"/>
    <Relationship TargetMode="External" Target="https://www.legis.iowa.gov/docs/iac/rule/567.135.12.pdf" Type="http://schemas.openxmlformats.org/officeDocument/2006/relationships/hyperlink" Id="rId88"/>
    <Relationship TargetMode="External" Target="https://www.legis.iowa.gov/docs/iac/rule/567.135.12.pdf" Type="http://schemas.openxmlformats.org/officeDocument/2006/relationships/hyperlink" Id="rId89"/>
    <Relationship TargetMode="External" Target="https://www.legis.iowa.gov/docs/iac/rule/567.135.10.pdf" Type="http://schemas.openxmlformats.org/officeDocument/2006/relationships/hyperlink" Id="rId90"/>
    <Relationship TargetMode="External" Target="https://www.legis.iowa.gov/docs/iac/rule/567.135.12.pdf" Type="http://schemas.openxmlformats.org/officeDocument/2006/relationships/hyperlink" Id="rId91"/>
    <Relationship TargetMode="External" Target="https://www.legis.iowa.gov/docs/iac/rule/567.135.12.pdf" Type="http://schemas.openxmlformats.org/officeDocument/2006/relationships/hyperlink" Id="rId92"/>
    <Relationship TargetMode="External" Target="https://www.legis.iowa.gov/docs/iac/rule/567.135.12.pdf" Type="http://schemas.openxmlformats.org/officeDocument/2006/relationships/hyperlink" Id="rId93"/>
    <Relationship TargetMode="External" Target="https://www.legis.iowa.gov/docs/iac/rule/567.135.12.pdf" Type="http://schemas.openxmlformats.org/officeDocument/2006/relationships/hyperlink" Id="rId94"/>
    <Relationship TargetMode="External" Target="https://www.legis.iowa.gov/docs/iac/rule/567.135.10.pdf" Type="http://schemas.openxmlformats.org/officeDocument/2006/relationships/hyperlink" Id="rId95"/>
    <Relationship TargetMode="External" Target="https://www.legis.iowa.gov/docs/iac/rule/567.135.9.pdf" Type="http://schemas.openxmlformats.org/officeDocument/2006/relationships/hyperlink" Id="rId96"/>
    <Relationship TargetMode="External" Target="https://www.legis.iowa.gov/docs/iac/rule/567.135.9.pdf" Type="http://schemas.openxmlformats.org/officeDocument/2006/relationships/hyperlink" Id="rId97"/>
    <Relationship TargetMode="External" Target="https://www.legis.iowa.gov/docs/iac/rule/567.61.3.pdf" Type="http://schemas.openxmlformats.org/officeDocument/2006/relationships/hyperlink" Id="rId98"/>
    <Relationship TargetMode="External" Target="https://www.legis.iowa.gov/docs/iac/rule/567.61.3.pdf" Type="http://schemas.openxmlformats.org/officeDocument/2006/relationships/hyperlink" Id="rId99"/>
    <Relationship TargetMode="External" Target="https://www.legis.iowa.gov/docs/iac/rule/567.61.3.pdf" Type="http://schemas.openxmlformats.org/officeDocument/2006/relationships/hyperlink" Id="rId100"/>
    <Relationship TargetMode="External" Target="https://www.legis.iowa.gov/docs/iac/rule/567.135.10.pdf" Type="http://schemas.openxmlformats.org/officeDocument/2006/relationships/hyperlink" Id="rId101"/>
    <Relationship TargetMode="External" Target="https://www.legis.iowa.gov/docs/iac/rule/567.61.3.pdf" Type="http://schemas.openxmlformats.org/officeDocument/2006/relationships/hyperlink" Id="rId102"/>
    <Relationship TargetMode="External" Target="https://www.legis.iowa.gov/docs/iac/rule/567.135.10.pdf" Type="http://schemas.openxmlformats.org/officeDocument/2006/relationships/hyperlink" Id="rId103"/>
    <Relationship TargetMode="External" Target="https://www.legis.iowa.gov/docs/iac/chapter/567.61.pdf" Type="http://schemas.openxmlformats.org/officeDocument/2006/relationships/hyperlink" Id="rId104"/>
    <Relationship TargetMode="External" Target="https://www.legis.iowa.gov/docs/iac/rule/567.62.8.pdf" Type="http://schemas.openxmlformats.org/officeDocument/2006/relationships/hyperlink" Id="rId105"/>
    <Relationship TargetMode="External" Target="https://www.legis.iowa.gov/docs/iac/rule/567.135.12.pdf" Type="http://schemas.openxmlformats.org/officeDocument/2006/relationships/hyperlink" Id="rId106"/>
    <Relationship TargetMode="External" Target="https://www.legis.iowa.gov/docs/iac/rule/567.135.12.pdf" Type="http://schemas.openxmlformats.org/officeDocument/2006/relationships/hyperlink" Id="rId107"/>
    <Relationship TargetMode="External" Target="https://www.legis.iowa.gov/docs/iac/rule/567.61.3.pdf" Type="http://schemas.openxmlformats.org/officeDocument/2006/relationships/hyperlink" Id="rId108"/>
    <Relationship TargetMode="External" Target="https://www.legis.iowa.gov/docs/iac/rule/567.135.12.pdf" Type="http://schemas.openxmlformats.org/officeDocument/2006/relationships/hyperlink" Id="rId109"/>
    <Relationship TargetMode="External" Target="https://www.legis.iowa.gov/docs/iac/rule/567.61.3.pdf" Type="http://schemas.openxmlformats.org/officeDocument/2006/relationships/hyperlink" Id="rId110"/>
    <Relationship TargetMode="External" Target="https://www.legis.iowa.gov/docs/iac/rule/567.61.3.pdf" Type="http://schemas.openxmlformats.org/officeDocument/2006/relationships/hyperlink" Id="rId111"/>
    <Relationship TargetMode="External" Target="https://www.legis.iowa.gov/docs/iac/rule/567.135.12.pdf" Type="http://schemas.openxmlformats.org/officeDocument/2006/relationships/hyperlink" Id="rId112"/>
    <Relationship TargetMode="External" Target="https://www.legis.iowa.gov/docs/iac/rule/567.135.12.pdf" Type="http://schemas.openxmlformats.org/officeDocument/2006/relationships/hyperlink" Id="rId113"/>
    <Relationship TargetMode="External" Target="https://www.legis.iowa.gov/docs/iac/rule/567.135.9.pdf" Type="http://schemas.openxmlformats.org/officeDocument/2006/relationships/hyperlink" Id="rId114"/>
    <Relationship TargetMode="External" Target="https://www.legis.iowa.gov/docs/iac/rule/567.135.7.pdf" Type="http://schemas.openxmlformats.org/officeDocument/2006/relationships/hyperlink" Id="rId115"/>
    <Relationship TargetMode="External" Target="https://www.legis.iowa.gov/docs/ico/chapter/455B.474.pdf" Type="http://schemas.openxmlformats.org/officeDocument/2006/relationships/hyperlink" Id="rId116"/>
    <Relationship TargetMode="External" Target="https://www.legis.iowa.gov/docs/iac/rule/567.135.10.pdf" Type="http://schemas.openxmlformats.org/officeDocument/2006/relationships/hyperlink" Id="rId117"/>
    <Relationship TargetMode="External" Target="https://www.legis.iowa.gov/docs/iac/rule/567.135.11.pdf" Type="http://schemas.openxmlformats.org/officeDocument/2006/relationships/hyperlink" Id="rId118"/>
    <Relationship TargetMode="External" Target="https://www.legis.iowa.gov/docs/iac/rule/567.135.12.pdf" Type="http://schemas.openxmlformats.org/officeDocument/2006/relationships/hyperlink" Id="rId119"/>
    <Relationship TargetMode="External" Target="https://www.legis.iowa.gov/docs/iac/rule/567.135.10.pdf" Type="http://schemas.openxmlformats.org/officeDocument/2006/relationships/hyperlink" Id="rId120"/>
    <Relationship Target="footer.xml" Type="http://schemas.openxmlformats.org/officeDocument/2006/relationships/footer"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