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567—135.1</w:t>
      </w:r>
      <w:r>
        <w:rPr>
          <w:rFonts w:ascii="Times New Roman" w:hAnsi="Times New Roman"/>
          <w:b/>
          <w:i w:val="false"/>
          <w:color w:val="000000"/>
          <w:sz w:val="22"/>
        </w:rPr>
        <w:t xml:space="preserve">(455B) </w:t>
      </w:r>
      <w:r>
        <w:rPr>
          <w:rFonts w:ascii="Times New Roman" w:hAnsi="Times New Roman"/>
          <w:b/>
          <w:i w:val="false"/>
          <w:color w:val="000000"/>
          <w:sz w:val="22"/>
        </w:rPr>
        <w:t xml:space="preserve">Authority, purpose and 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135.1(1)</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Iowa Code chapter </w:t>
      </w:r>
      <w:hyperlink r:id="rId4">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subchapter IV, part 8, authorizes the department to regulate underground tanks used for storage of regulated substances, and to adopt rules relating to detection, prevention and correction of releases of regulated substances from such tanks, maintenance of financial responsibility by owners or operators of such tanks, new tank performance standards, notice and reporting requirements, and designation of regulated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135.1(2)</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purpose of these rules is to protect the public health and safety and the natural resources of Iowa by timely and appropriate detection, prevention and correction of releases of regulated substances from underground storage tanks (UST).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135.1(3)</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 conjunction with the requirements of Iowa Code chapter </w:t>
      </w:r>
      <w:hyperlink r:id="rId5">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subchapter IV, part 8, the requirements of this chapter apply to all owners and operators of a UST system as defined in </w:t>
      </w:r>
      <w:hyperlink r:id="rId6">
        <w:r>
          <w:rPr>
            <w:rStyle w:val="Hyperlink"/>
            <w:rFonts w:ascii="Times New Roman" w:hAnsi="Times New Roman"/>
            <w:b w:val="false"/>
            <w:i w:val="false"/>
            <w:color w:val="000000"/>
            <w:sz w:val="22"/>
          </w:rPr>
          <w:t>567—135.2</w:t>
        </w:r>
      </w:hyperlink>
      <w:r>
        <w:rPr>
          <w:rFonts w:ascii="Times New Roman" w:hAnsi="Times New Roman"/>
          <w:b w:val="false"/>
          <w:i w:val="false"/>
          <w:color w:val="000000"/>
          <w:sz w:val="22"/>
        </w:rPr>
        <w:t xml:space="preserve">(455B) except as otherwise provided in </w:t>
      </w:r>
      <w:hyperlink r:id="rId7">
        <w:r>
          <w:rPr>
            <w:rStyle w:val="Hyperlink"/>
            <w:rFonts w:ascii="Times New Roman" w:hAnsi="Times New Roman"/>
            <w:b w:val="false"/>
            <w:i w:val="false"/>
            <w:color w:val="000000"/>
            <w:sz w:val="22"/>
          </w:rPr>
          <w:t>135.1(3)</w:t>
        </w:r>
      </w:hyperlink>
      <w:r>
        <w:rPr>
          <w:rFonts w:ascii="Times New Roman" w:hAnsi="Times New Roman"/>
          <w:b w:val="false"/>
          <w:i/>
          <w:color w:val="000000"/>
          <w:sz w:val="22"/>
        </w:rPr>
        <w:t>“b”</w:t>
      </w:r>
      <w:r>
        <w:rPr>
          <w:rFonts w:ascii="Times New Roman" w:hAnsi="Times New Roman"/>
          <w:b w:val="false"/>
          <w:i w:val="false"/>
          <w:color w:val="000000"/>
          <w:sz w:val="22"/>
        </w:rPr>
        <w:t xml:space="preserve"> and </w:t>
      </w:r>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Previously deferred UST systems. Airport hydrant fuel distribution systems, UST systems with field-constructed tanks, and UST systems that store fuel solely for use by emergency power generators must meet the requirements of these rules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Airport hydrant fuel distribution systems and UST systems with field-constructed tanks must meet the requirements in </w:t>
      </w:r>
      <w:hyperlink r:id="rId8">
        <w:r>
          <w:rPr>
            <w:rStyle w:val="Hyperlink"/>
            <w:rFonts w:ascii="Times New Roman" w:hAnsi="Times New Roman"/>
            <w:b w:val="false"/>
            <w:i w:val="false"/>
            <w:color w:val="000000"/>
            <w:sz w:val="22"/>
          </w:rPr>
          <w:t>567—135.20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UST systems that store fuel solely for use by emergency power generators installed on or before November 28, 2007, must meet the requirements in </w:t>
      </w:r>
      <w:hyperlink r:id="rId9">
        <w:r>
          <w:rPr>
            <w:rStyle w:val="Hyperlink"/>
            <w:rFonts w:ascii="Times New Roman" w:hAnsi="Times New Roman"/>
            <w:b w:val="false"/>
            <w:i w:val="false"/>
            <w:color w:val="000000"/>
            <w:sz w:val="22"/>
          </w:rPr>
          <w:t>567—135.5</w:t>
        </w:r>
      </w:hyperlink>
      <w:r>
        <w:rPr>
          <w:rFonts w:ascii="Times New Roman" w:hAnsi="Times New Roman"/>
          <w:b w:val="false"/>
          <w:i w:val="false"/>
          <w:color w:val="000000"/>
          <w:sz w:val="22"/>
        </w:rPr>
        <w:t>(455B) by October 13, 2021.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UST systems that store fuel solely for use by emergency power generators installed after November 28, 2007, must meet all applicable requirements of this chapter at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Any UST system listed in </w:t>
      </w:r>
      <w:hyperlink r:id="rId10">
        <w:r>
          <w:rPr>
            <w:rStyle w:val="Hyperlink"/>
            <w:rFonts w:ascii="Times New Roman" w:hAnsi="Times New Roman"/>
            <w:b w:val="false"/>
            <w:i w:val="false"/>
            <w:color w:val="000000"/>
            <w:sz w:val="22"/>
          </w:rPr>
          <w:t>135.1(3)</w:t>
        </w:r>
        <w:r>
          <w:rPr>
            <w:rFonts w:ascii="Times New Roman" w:hAnsi="Times New Roman"/>
            <w:b w:val="false"/>
            <w:i/>
            <w:color w:val="000000"/>
            <w:sz w:val="22"/>
          </w:rPr>
          <w:t>“c”</w:t>
        </w:r>
      </w:hyperlink>
      <w:r>
        <w:rPr>
          <w:rFonts w:ascii="Times New Roman" w:hAnsi="Times New Roman"/>
          <w:b w:val="false"/>
          <w:i w:val="false"/>
          <w:color w:val="000000"/>
          <w:sz w:val="22"/>
        </w:rPr>
        <w:t xml:space="preserve"> must meet the requirements of </w:t>
      </w:r>
      <w:hyperlink r:id="rId11">
        <w:r>
          <w:rPr>
            <w:rStyle w:val="Hyperlink"/>
            <w:rFonts w:ascii="Times New Roman" w:hAnsi="Times New Roman"/>
            <w:b w:val="false"/>
            <w:i w:val="false"/>
            <w:color w:val="000000"/>
            <w:sz w:val="22"/>
          </w:rPr>
          <w:t>135.1(4)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Exclusions. The following UST systems are excluded from the requirements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UST system holding hazardous wastes listed or identified under Subtitle C of the Solid Waste Disposal Act, or a mixture of such hazardous waste and other regulated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wastewater treatment tank system that is part of a wastewater treatment facility regulated under Section 402 or 307(b) of the federal Clean Water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Equipment or machinery that contains regulated substances for operational purposes such as hydraulic lift tanks and electrical equipment tanks.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Any UST system whose capacity is 110 gallons or less.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UST system that contains a de minimis concentration of regulated substances.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emergency spill or overflow containment UST system that is expeditiously emptied after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Partial exclusions. Rules </w:t>
      </w:r>
      <w:hyperlink r:id="rId12">
        <w:r>
          <w:rPr>
            <w:rStyle w:val="Hyperlink"/>
            <w:rFonts w:ascii="Times New Roman" w:hAnsi="Times New Roman"/>
            <w:b w:val="false"/>
            <w:i w:val="false"/>
            <w:color w:val="000000"/>
            <w:sz w:val="22"/>
          </w:rPr>
          <w:t>567—135.3(455B)</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567—135.4(455B)</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567—135.5(455B)</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567—135.6</w:t>
        </w:r>
      </w:hyperlink>
      <w:r>
        <w:rPr>
          <w:rFonts w:ascii="Times New Roman" w:hAnsi="Times New Roman"/>
          <w:b w:val="false"/>
          <w:i w:val="false"/>
          <w:color w:val="000000"/>
          <w:sz w:val="22"/>
        </w:rPr>
        <w:t xml:space="preserve">(455B), </w:t>
      </w:r>
      <w:hyperlink r:id="rId16">
        <w:r>
          <w:rPr>
            <w:rStyle w:val="Hyperlink"/>
            <w:rFonts w:ascii="Times New Roman" w:hAnsi="Times New Roman"/>
            <w:b w:val="false"/>
            <w:i w:val="false"/>
            <w:color w:val="000000"/>
            <w:sz w:val="22"/>
          </w:rPr>
          <w:t>567—135.15</w:t>
        </w:r>
      </w:hyperlink>
      <w:r>
        <w:rPr>
          <w:rFonts w:ascii="Times New Roman" w:hAnsi="Times New Roman"/>
          <w:b w:val="false"/>
          <w:i w:val="false"/>
          <w:color w:val="000000"/>
          <w:sz w:val="22"/>
        </w:rPr>
        <w:t xml:space="preserve">(455B) and </w:t>
      </w:r>
      <w:hyperlink r:id="rId17">
        <w:r>
          <w:rPr>
            <w:rStyle w:val="Hyperlink"/>
            <w:rFonts w:ascii="Times New Roman" w:hAnsi="Times New Roman"/>
            <w:b w:val="false"/>
            <w:i w:val="false"/>
            <w:color w:val="000000"/>
            <w:sz w:val="22"/>
          </w:rPr>
          <w:t>567—135.20</w:t>
        </w:r>
      </w:hyperlink>
      <w:r>
        <w:rPr>
          <w:rFonts w:ascii="Times New Roman" w:hAnsi="Times New Roman"/>
          <w:b w:val="false"/>
          <w:i w:val="false"/>
          <w:color w:val="000000"/>
          <w:sz w:val="22"/>
        </w:rPr>
        <w:t>(455B) do not apply to any of the following types of UST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Wastewater treatment tank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Any UST systems containing radioactive material that are regulated under the federal Atomic Energy Act of 1954 (</w:t>
      </w:r>
      <w:r>
        <w:rPr>
          <w:rFonts w:ascii="Times New Roman" w:hAnsi="Times New Roman"/>
          <w:b w:val="false"/>
          <w:i w:val="false"/>
          <w:color w:val="000000"/>
          <w:sz w:val="22"/>
        </w:rPr>
        <w:t>42 U.S.C. 2011</w:t>
      </w:r>
      <w:r>
        <w:rPr>
          <w:rFonts w:ascii="Times New Roman" w:hAnsi="Times New Roman"/>
          <w:b w:val="false"/>
          <w:i w:val="false"/>
          <w:color w:val="000000"/>
          <w:sz w:val="22"/>
        </w:rPr>
        <w:t xml:space="preserve"> and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UST system that is part of an emergency generator system at nuclear power generation facilities regulated by the Nuclear Regulatory Commission under 10 CFR 50 Appendix 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Aboveground storage tanks associated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Airport hydrant fuel distribution systems regulated under </w:t>
      </w:r>
      <w:hyperlink r:id="rId18">
        <w:r>
          <w:rPr>
            <w:rStyle w:val="Hyperlink"/>
            <w:rFonts w:ascii="Times New Roman" w:hAnsi="Times New Roman"/>
            <w:b w:val="false"/>
            <w:i w:val="false"/>
            <w:color w:val="000000"/>
            <w:sz w:val="22"/>
          </w:rPr>
          <w:t>567—135.20</w:t>
        </w:r>
      </w:hyperlink>
      <w:r>
        <w:rPr>
          <w:rFonts w:ascii="Times New Roman" w:hAnsi="Times New Roman"/>
          <w:b w:val="false"/>
          <w:i w:val="false"/>
          <w:color w:val="000000"/>
          <w:sz w:val="22"/>
        </w:rPr>
        <w:t>(455B);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UST systems with field-constructed tanks regulated under </w:t>
      </w:r>
      <w:hyperlink r:id="rId19">
        <w:r>
          <w:rPr>
            <w:rStyle w:val="Hyperlink"/>
            <w:rFonts w:ascii="Times New Roman" w:hAnsi="Times New Roman"/>
            <w:b w:val="false"/>
            <w:i w:val="false"/>
            <w:color w:val="000000"/>
            <w:sz w:val="22"/>
          </w:rPr>
          <w:t>567—135.20</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Nonpetroleum underground storage tank systems. Rules </w:t>
      </w:r>
      <w:hyperlink r:id="rId20">
        <w:r>
          <w:rPr>
            <w:rStyle w:val="Hyperlink"/>
            <w:rFonts w:ascii="Times New Roman" w:hAnsi="Times New Roman"/>
            <w:b w:val="false"/>
            <w:i w:val="false"/>
            <w:color w:val="000000"/>
            <w:sz w:val="22"/>
          </w:rPr>
          <w:t>567—135.8(455B)</w:t>
        </w:r>
      </w:hyperlink>
      <w:r>
        <w:rPr>
          <w:rFonts w:ascii="Times New Roman" w:hAnsi="Times New Roman"/>
          <w:b w:val="false"/>
          <w:i w:val="false"/>
          <w:color w:val="000000"/>
          <w:sz w:val="22"/>
        </w:rPr>
        <w:t xml:space="preserve"> through </w:t>
      </w:r>
      <w:hyperlink r:id="rId21">
        <w:r>
          <w:rPr>
            <w:rStyle w:val="Hyperlink"/>
            <w:rFonts w:ascii="Times New Roman" w:hAnsi="Times New Roman"/>
            <w:b w:val="false"/>
            <w:i w:val="false"/>
            <w:color w:val="000000"/>
            <w:sz w:val="22"/>
          </w:rPr>
          <w:t>567—135.12(455B)</w:t>
        </w:r>
      </w:hyperlink>
      <w:r>
        <w:rPr>
          <w:rFonts w:ascii="Times New Roman" w:hAnsi="Times New Roman"/>
          <w:b w:val="false"/>
          <w:i w:val="false"/>
          <w:color w:val="000000"/>
          <w:sz w:val="22"/>
        </w:rPr>
        <w:t xml:space="preserve"> do not apply to any nonpetroleum underground storage tank system, except as otherwise provided for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135.1(4)</w:t>
      </w:r>
      <w:r>
        <w:rPr>
          <w:rFonts w:ascii="Times New Roman" w:hAnsi="Times New Roman"/>
          <w:b w:val="false"/>
          <w:i w:val="false"/>
          <w:color w:val="000000"/>
          <w:sz w:val="22"/>
        </w:rPr>
        <w:t> </w:t>
      </w:r>
      <w:r>
        <w:rPr>
          <w:rFonts w:ascii="Times New Roman" w:hAnsi="Times New Roman"/>
          <w:b w:val="false"/>
          <w:i/>
          <w:color w:val="000000"/>
          <w:sz w:val="22"/>
        </w:rPr>
        <w:t xml:space="preserve">Installation requirements for partially excluded UST systems.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Owners and operators must install a UST system listed in </w:t>
      </w:r>
      <w:hyperlink r:id="rId22">
        <w:r>
          <w:rPr>
            <w:rStyle w:val="Hyperlink"/>
            <w:rFonts w:ascii="Times New Roman" w:hAnsi="Times New Roman"/>
            <w:b w:val="false"/>
            <w:i w:val="false"/>
            <w:color w:val="000000"/>
            <w:sz w:val="22"/>
          </w:rPr>
          <w:t>135.1(3)</w:t>
        </w:r>
      </w:hyperlink>
      <w:r>
        <w:rPr>
          <w:rFonts w:ascii="Times New Roman" w:hAnsi="Times New Roman"/>
          <w:b w:val="false"/>
          <w:i/>
          <w:color w:val="000000"/>
          <w:sz w:val="22"/>
        </w:rPr>
        <w:t>“c”</w:t>
      </w:r>
      <w:r>
        <w:rPr>
          <w:rFonts w:ascii="Times New Roman" w:hAnsi="Times New Roman"/>
          <w:b w:val="false"/>
          <w:i w:val="false"/>
          <w:color w:val="000000"/>
          <w:sz w:val="22"/>
        </w:rPr>
        <w:t xml:space="preserve">(1) through </w:t>
      </w:r>
      <w:r>
        <w:rPr>
          <w:rFonts w:ascii="Times New Roman" w:hAnsi="Times New Roman"/>
          <w:b w:val="false"/>
          <w:i/>
          <w:color w:val="000000"/>
          <w:sz w:val="22"/>
        </w:rPr>
        <w:t>“c”</w:t>
      </w:r>
      <w:r>
        <w:rPr>
          <w:rFonts w:ascii="Times New Roman" w:hAnsi="Times New Roman"/>
          <w:b w:val="false"/>
          <w:i w:val="false"/>
          <w:color w:val="000000"/>
          <w:sz w:val="22"/>
        </w:rPr>
        <w:t>(3) storing regulated substances (whether of single- or double-wall construction) that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Will prevent releases due to corrosion or structural failure for the operational life of the UST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cathodically protected against corrosion, constructed of noncorrodible material, steel clad with a noncorrodible material, or designed in a manner to prevent the release or threatened release of any stored substance;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constructed or lined with material that is compatible with the stored substance.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w:t>
      </w:r>
      <w:hyperlink r:id="rId23">
        <w:r>
          <w:rPr>
            <w:rStyle w:val="Hyperlink"/>
            <w:rFonts w:ascii="Times New Roman" w:hAnsi="Times New Roman"/>
            <w:b w:val="false"/>
            <w:i w:val="false"/>
            <w:color w:val="000000"/>
            <w:sz w:val="22"/>
          </w:rPr>
          <w:t>135.1(4)</w:t>
        </w:r>
      </w:hyperlink>
      <w:r>
        <w:rPr>
          <w:rFonts w:ascii="Times New Roman" w:hAnsi="Times New Roman"/>
          <w:b w:val="false"/>
          <w:i/>
          <w:color w:val="000000"/>
          <w:sz w:val="22"/>
        </w:rPr>
        <w:t>“a,”</w:t>
      </w:r>
      <w:r>
        <w:rPr>
          <w:rFonts w:ascii="Times New Roman" w:hAnsi="Times New Roman"/>
          <w:b w:val="false"/>
          <w:i w:val="false"/>
          <w:color w:val="000000"/>
          <w:sz w:val="22"/>
        </w:rPr>
        <w:t xml:space="preserve"> a UST system without corrosion protection may be installed at a site that is determined by a corrosion expert not to be corrosive enough to cause it to have a release due to corrosion during its operating life. Owners and operators must maintain records that demonstrate compliance with the requirements of this paragraph for the remaining life of the tank.</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The codes of practice referenced in 40 CFR 280.11(b) may be used as guidance for complying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135.1(5)</w:t>
      </w:r>
      <w:r>
        <w:rPr>
          <w:rFonts w:ascii="Times New Roman" w:hAnsi="Times New Roman"/>
          <w:b w:val="false"/>
          <w:i w:val="false"/>
          <w:color w:val="000000"/>
          <w:sz w:val="22"/>
        </w:rPr>
        <w:t> </w:t>
      </w:r>
      <w:r>
        <w:rPr>
          <w:rFonts w:ascii="Times New Roman" w:hAnsi="Times New Roman"/>
          <w:b w:val="false"/>
          <w:i w:val="false"/>
          <w:color w:val="000000"/>
          <w:sz w:val="22"/>
        </w:rPr>
        <w:t>All rules, standards, technical guidance, and other similar legal or technical documents that are referenced in this chapter shall be the version of those documents in effect on May 27, 2026, unless otherwise noted in these rules, and except for references to the Iowa Code and Iowa Administrative Code, which shall always be the most recent version unless otherwise noted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0491D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2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55B.pdf" Type="http://schemas.openxmlformats.org/officeDocument/2006/relationships/hyperlink" Id="rId4"/>
    <Relationship TargetMode="External" Target="https://www.legis.iowa.gov/docs/ico/chapter/455B.pdf" Type="http://schemas.openxmlformats.org/officeDocument/2006/relationships/hyperlink" Id="rId5"/>
    <Relationship TargetMode="External" Target="https://www.legis.iowa.gov/docs/iac/rule/567.135.2.pdf" Type="http://schemas.openxmlformats.org/officeDocument/2006/relationships/hyperlink" Id="rId6"/>
    <Relationship TargetMode="External" Target="https://www.legis.iowa.gov/docs/iac/rule/567.135.1.pdf" Type="http://schemas.openxmlformats.org/officeDocument/2006/relationships/hyperlink" Id="rId7"/>
    <Relationship TargetMode="External" Target="https://www.legis.iowa.gov/docs/iac/rule/567.135.20.pdf" Type="http://schemas.openxmlformats.org/officeDocument/2006/relationships/hyperlink" Id="rId8"/>
    <Relationship TargetMode="External" Target="https://www.legis.iowa.gov/docs/iac/rule/567.135.5.pdf" Type="http://schemas.openxmlformats.org/officeDocument/2006/relationships/hyperlink" Id="rId9"/>
    <Relationship TargetMode="External" Target="https://www.legis.iowa.gov/docs/iac/rule/567.135.1.pdf" Type="http://schemas.openxmlformats.org/officeDocument/2006/relationships/hyperlink" Id="rId10"/>
    <Relationship TargetMode="External" Target="https://www.legis.iowa.gov/docs/iac/rule/567.135.1.pdf" Type="http://schemas.openxmlformats.org/officeDocument/2006/relationships/hyperlink" Id="rId11"/>
    <Relationship TargetMode="External" Target="https://www.legis.iowa.gov/docs/iac/rule/567.135.3.pdf" Type="http://schemas.openxmlformats.org/officeDocument/2006/relationships/hyperlink" Id="rId12"/>
    <Relationship TargetMode="External" Target="https://www.legis.iowa.gov/docs/iac/rule/567.135.4.pdf" Type="http://schemas.openxmlformats.org/officeDocument/2006/relationships/hyperlink" Id="rId13"/>
    <Relationship TargetMode="External" Target="https://www.legis.iowa.gov/docs/iac/rule/567.135.5.pdf" Type="http://schemas.openxmlformats.org/officeDocument/2006/relationships/hyperlink" Id="rId14"/>
    <Relationship TargetMode="External" Target="https://www.legis.iowa.gov/docs/iac/rule/567.135.6.pdf" Type="http://schemas.openxmlformats.org/officeDocument/2006/relationships/hyperlink" Id="rId15"/>
    <Relationship TargetMode="External" Target="https://www.legis.iowa.gov/docs/iac/rule/567.135.15.pdf" Type="http://schemas.openxmlformats.org/officeDocument/2006/relationships/hyperlink" Id="rId16"/>
    <Relationship TargetMode="External" Target="https://www.legis.iowa.gov/docs/iac/rule/567.135.20.pdf" Type="http://schemas.openxmlformats.org/officeDocument/2006/relationships/hyperlink" Id="rId17"/>
    <Relationship TargetMode="External" Target="https://www.legis.iowa.gov/docs/iac/rule/567.135.20.pdf" Type="http://schemas.openxmlformats.org/officeDocument/2006/relationships/hyperlink" Id="rId18"/>
    <Relationship TargetMode="External" Target="https://www.legis.iowa.gov/docs/iac/rule/567.135.20.pdf" Type="http://schemas.openxmlformats.org/officeDocument/2006/relationships/hyperlink" Id="rId19"/>
    <Relationship TargetMode="External" Target="https://www.legis.iowa.gov/docs/iac/rule/567.135.8.pdf" Type="http://schemas.openxmlformats.org/officeDocument/2006/relationships/hyperlink" Id="rId20"/>
    <Relationship TargetMode="External" Target="https://www.legis.iowa.gov/docs/iac/rule/567.135.12.pdf" Type="http://schemas.openxmlformats.org/officeDocument/2006/relationships/hyperlink" Id="rId21"/>
    <Relationship TargetMode="External" Target="https://www.legis.iowa.gov/docs/iac/rule/567.135.1.pdf" Type="http://schemas.openxmlformats.org/officeDocument/2006/relationships/hyperlink" Id="rId22"/>
    <Relationship TargetMode="External" Target="https://www.legis.iowa.gov/docs/iac/rule/567.135.1.pdf" Type="http://schemas.openxmlformats.org/officeDocument/2006/relationships/hyperlink" Id="rId23"/>
    <Relationship Target="footer.xml" Type="http://schemas.openxmlformats.org/officeDocument/2006/relationships/footer" Id="rId2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