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567—134.6</w:t>
      </w:r>
      <w:r>
        <w:rPr>
          <w:rFonts w:ascii="Times New Roman" w:hAnsi="Times New Roman"/>
          <w:b/>
          <w:i w:val="false"/>
          <w:color w:val="000000"/>
          <w:sz w:val="22"/>
        </w:rPr>
        <w:t xml:space="preserve">(455B) </w:t>
      </w:r>
      <w:r>
        <w:rPr>
          <w:rFonts w:ascii="Times New Roman" w:hAnsi="Times New Roman"/>
          <w:b/>
          <w:i w:val="false"/>
          <w:color w:val="000000"/>
          <w:sz w:val="22"/>
        </w:rPr>
        <w:t xml:space="preserve">Training courses and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 certification as a groundwater professional, compliance inspector, installer, installation inspector, or remover, the applicant will successfully complete a department-led or department-approved training course and pass a qualification examination offered or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requirements for all individual certificate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passing grade of not less than 75 percent is required on the respective examinations for installers, installation inspectors, removers and compliance inspectors. A passing grade of not less than 70 percent is required on the groundwater professional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Applicants who have failed the examination will not perform work unless supervised by an appropriately certified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fee reflecting the actual costs of developing and administering each course of instruction and examination may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Nothing in this chapter shall limit the right of the department to require additional educational requirements of certification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receives less than a passing score on an examination may retake the test within 180 days without reapplying. The application of an applicant who fails the second examination will be denied. An applicant who fails the second examination may reapply for certification but will not retake the examination until the applicant has successfully completed a course of instruction that is administered or approved by the department and that is administered after the applicant’s second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134.6(2)</w:t>
      </w:r>
      <w:r>
        <w:rPr>
          <w:rFonts w:ascii="Times New Roman" w:hAnsi="Times New Roman"/>
          <w:b w:val="false"/>
          <w:i w:val="false"/>
          <w:color w:val="000000"/>
          <w:sz w:val="22"/>
        </w:rPr>
        <w:t> </w:t>
      </w:r>
      <w:r>
        <w:rPr>
          <w:rFonts w:ascii="Times New Roman" w:hAnsi="Times New Roman"/>
          <w:b w:val="false"/>
          <w:i/>
          <w:color w:val="000000"/>
          <w:sz w:val="22"/>
        </w:rPr>
        <w:t xml:space="preserve">Educational offering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Courses approved by the department. </w:t>
      </w:r>
      <w:r>
        <w:rPr>
          <w:rFonts w:ascii="Times New Roman" w:hAnsi="Times New Roman"/>
          <w:b w:val="false"/>
          <w:i w:val="false"/>
          <w:color w:val="000000"/>
          <w:sz w:val="22"/>
        </w:rPr>
        <w:t>The requirement for educational offerings may be met only by those courses that have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of course approval. </w:t>
      </w:r>
      <w:r>
        <w:rPr>
          <w:rFonts w:ascii="Times New Roman" w:hAnsi="Times New Roman"/>
          <w:b w:val="false"/>
          <w:i w:val="false"/>
          <w:color w:val="000000"/>
          <w:sz w:val="22"/>
        </w:rPr>
        <w:t>Approval of a course may take the form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 approval granted by the department to the sponsor or instructor of an educational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requests for credit granted by the department to an installer or inspector for an educational offering whose sponsor or instructor did not seek program approval;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Blanket approval granted by the department to educational offerings sponsored by the department or other professional organizations whose standards have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for course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program approval shall be made by the sponsor or instructor to the department and include an agenda or an outline of the content of the proposed educational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application shall be reviewed by the department, and notice of approval or denial of program approval shall be sent to the sponsor or instructor. Credit hours may be limited by the department based on program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Proof of participation. </w:t>
      </w:r>
      <w:r>
        <w:rPr>
          <w:rFonts w:ascii="Times New Roman" w:hAnsi="Times New Roman"/>
          <w:b w:val="false"/>
          <w:i w:val="false"/>
          <w:color w:val="000000"/>
          <w:sz w:val="22"/>
        </w:rPr>
        <w:t>Any approved course must provide participants a certificate of satisfactory completion of the course or provide the department a list of participants who have satisfactorily completed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134.6(3)</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required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be issued a compliance inspector certification without the required training if all other requirements are satisfied and the required training is not offered within 60 days of the date of application. The applicant must attend required training when required training is next offered. If an applicant receives a certification under this temporary exception, the individual must attend required training, if offered, before renewal of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applicant receives a compliance inspector certification under the temporary training exception above, all compliance inspection activities must be conducted under the supervision of a trained Iowa-certified compliance inspector. Supervision does not require the trained Iowa-certified compliance inspector to be on site for compliance inspections conducted by an inspector who has not completed the required training. The trained Iowa-certified compliance inspector must co-sign compliance inspections conducted by the inspector who has not completed the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Cathodic protection testers are not required to complete a course of instruction but are required to maintain AMPP (NACE) certification, STI cathodic protection certification, or equivalent certification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UST liners and UST testers are not required to complete a course of instruction or pass a state qualifying examination for initial certification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134.6(4)</w:t>
      </w:r>
      <w:r>
        <w:rPr>
          <w:rFonts w:ascii="Times New Roman" w:hAnsi="Times New Roman"/>
          <w:b w:val="false"/>
          <w:i w:val="false"/>
          <w:color w:val="000000"/>
          <w:sz w:val="22"/>
        </w:rPr>
        <w:t> </w:t>
      </w:r>
      <w:r>
        <w:rPr>
          <w:rFonts w:ascii="Times New Roman" w:hAnsi="Times New Roman"/>
          <w:b w:val="false"/>
          <w:i/>
          <w:color w:val="000000"/>
          <w:sz w:val="22"/>
        </w:rPr>
        <w:t xml:space="preserve">Exemption from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professional engineer exempted from groundwater professional certification examination pursuant to Iowa Code section </w:t>
      </w:r>
      <w:hyperlink r:id="rId4">
        <w:r>
          <w:rPr>
            <w:rStyle w:val="Hyperlink"/>
            <w:rFonts w:ascii="Times New Roman" w:hAnsi="Times New Roman"/>
            <w:b w:val="false"/>
            <w:i w:val="false"/>
            <w:color w:val="000000"/>
            <w:sz w:val="22"/>
          </w:rPr>
          <w:t>455B.474(9)</w:t>
        </w:r>
      </w:hyperlink>
      <w:r>
        <w:rPr>
          <w:rFonts w:ascii="Times New Roman" w:hAnsi="Times New Roman"/>
          <w:b w:val="false"/>
          <w:i/>
          <w:color w:val="000000"/>
          <w:sz w:val="22"/>
        </w:rPr>
        <w:t>“g”</w:t>
      </w:r>
      <w:r>
        <w:rPr>
          <w:rFonts w:ascii="Times New Roman" w:hAnsi="Times New Roman"/>
          <w:b w:val="false"/>
          <w:i w:val="false"/>
          <w:color w:val="000000"/>
          <w:sz w:val="22"/>
        </w:rPr>
        <w:t xml:space="preserve"> must meet the continuing education requirements of </w:t>
      </w:r>
      <w:hyperlink r:id="rId5">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for the exemption to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engineer who is conducting business as an installation inspector or remover and who has met the requirements in Iowa to be a registered professional engineer (P.E.) is exempt from the educational requirements so long as UST-related work is in the scope of the engineer’s P.E. license and regular practice. Professional engineers must meet the continue education requirement of </w:t>
      </w:r>
      <w:hyperlink r:id="rId6">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for this exemption to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474.pdf" Type="http://schemas.openxmlformats.org/officeDocument/2006/relationships/hyperlink" Id="rId4"/>
    <Relationship TargetMode="External" Target="https://www.legis.iowa.gov/docs/iac/rule/567.134.8.pdf" Type="http://schemas.openxmlformats.org/officeDocument/2006/relationships/hyperlink" Id="rId5"/>
    <Relationship TargetMode="External" Target="https://www.legis.iowa.gov/docs/iac/rule/567.134.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