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567—134.5</w:t>
      </w:r>
      <w:r>
        <w:rPr>
          <w:rFonts w:ascii="Times New Roman" w:hAnsi="Times New Roman"/>
          <w:b/>
          <w:i w:val="false"/>
          <w:color w:val="000000"/>
          <w:sz w:val="22"/>
        </w:rPr>
        <w:t xml:space="preserve">(455B) </w:t>
      </w:r>
      <w:r>
        <w:rPr>
          <w:rFonts w:ascii="Times New Roman" w:hAnsi="Times New Roman"/>
          <w:b/>
          <w:i w:val="false"/>
          <w:color w:val="000000"/>
          <w:sz w:val="22"/>
        </w:rPr>
        <w:t xml:space="preserve">Liability 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134.5(1)</w:t>
      </w:r>
      <w:r>
        <w:rPr>
          <w:rFonts w:ascii="Times New Roman" w:hAnsi="Times New Roman"/>
          <w:b w:val="false"/>
          <w:i w:val="false"/>
          <w:color w:val="000000"/>
          <w:sz w:val="22"/>
        </w:rPr>
        <w:t> </w:t>
      </w:r>
      <w:r>
        <w:rPr>
          <w:rFonts w:ascii="Times New Roman" w:hAnsi="Times New Roman"/>
          <w:b w:val="false"/>
          <w:i/>
          <w:color w:val="000000"/>
          <w:sz w:val="22"/>
        </w:rPr>
        <w:t xml:space="preserve">Environmental liability insurance. </w:t>
      </w:r>
      <w:r>
        <w:rPr>
          <w:rFonts w:ascii="Times New Roman" w:hAnsi="Times New Roman"/>
          <w:b w:val="false"/>
          <w:i w:val="false"/>
          <w:color w:val="000000"/>
          <w:sz w:val="22"/>
        </w:rPr>
        <w:t xml:space="preserve">All certificate holders, except for compliance inspectors and groundwater professionals, must hold environmental liability insurance as required by Iowa Code section </w:t>
      </w:r>
      <w:hyperlink r:id="rId4">
        <w:r>
          <w:rPr>
            <w:rStyle w:val="Hyperlink"/>
            <w:rFonts w:ascii="Times New Roman" w:hAnsi="Times New Roman"/>
            <w:b w:val="false"/>
            <w:i w:val="false"/>
            <w:color w:val="000000"/>
            <w:sz w:val="22"/>
          </w:rPr>
          <w:t>455B.474(10)</w:t>
        </w:r>
      </w:hyperlink>
      <w:r>
        <w:rPr>
          <w:rFonts w:ascii="Times New Roman" w:hAnsi="Times New Roman"/>
          <w:b w:val="false"/>
          <w:i w:val="false"/>
          <w:color w:val="000000"/>
          <w:sz w:val="22"/>
        </w:rPr>
        <w:t>. A company may provide insurance for all of its employees who are UST certificate holders.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134.5(2)</w:t>
      </w:r>
      <w:r>
        <w:rPr>
          <w:rFonts w:ascii="Times New Roman" w:hAnsi="Times New Roman"/>
          <w:b w:val="false"/>
          <w:i w:val="false"/>
          <w:color w:val="000000"/>
          <w:sz w:val="22"/>
        </w:rPr>
        <w:t> </w:t>
      </w:r>
      <w:r>
        <w:rPr>
          <w:rFonts w:ascii="Times New Roman" w:hAnsi="Times New Roman"/>
          <w:b w:val="false"/>
          <w:i/>
          <w:color w:val="000000"/>
          <w:sz w:val="22"/>
        </w:rPr>
        <w:t xml:space="preserve">Employer exception. </w:t>
      </w:r>
      <w:r>
        <w:rPr>
          <w:rFonts w:ascii="Times New Roman" w:hAnsi="Times New Roman"/>
          <w:b w:val="false"/>
          <w:i w:val="false"/>
          <w:color w:val="000000"/>
          <w:sz w:val="22"/>
        </w:rPr>
        <w:t>Individuals certified by this chapter, except for groundwater professionals, employed by owners or operators of UST systems to work only on the owner’s or operator’s private system(s) are exempt from insurance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134.5(3)</w:t>
      </w:r>
      <w:r>
        <w:rPr>
          <w:rFonts w:ascii="Times New Roman" w:hAnsi="Times New Roman"/>
          <w:b w:val="false"/>
          <w:i w:val="false"/>
          <w:color w:val="000000"/>
          <w:sz w:val="22"/>
        </w:rPr>
        <w:t> </w:t>
      </w:r>
      <w:r>
        <w:rPr>
          <w:rFonts w:ascii="Times New Roman" w:hAnsi="Times New Roman"/>
          <w:b w:val="false"/>
          <w:i/>
          <w:color w:val="000000"/>
          <w:sz w:val="22"/>
        </w:rPr>
        <w:t xml:space="preserve">Forms of acceptable insurance. </w:t>
      </w:r>
      <w:r>
        <w:rPr>
          <w:rFonts w:ascii="Times New Roman" w:hAnsi="Times New Roman"/>
          <w:b w:val="false"/>
          <w:i w:val="false"/>
          <w:color w:val="000000"/>
          <w:sz w:val="22"/>
        </w:rPr>
        <w:t>All parties certified by this chapter, except groundwater professionals and compliance inspectors, will provide evidence of environmental liability insurance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Environmental liability insurance may be provided by a private insurer authorized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environmental liability insurance may be provided using methods of self-insurance as outlined in </w:t>
      </w:r>
      <w:hyperlink r:id="rId5">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134.5(4)</w:t>
      </w:r>
      <w:r>
        <w:rPr>
          <w:rFonts w:ascii="Times New Roman" w:hAnsi="Times New Roman"/>
          <w:b w:val="false"/>
          <w:i w:val="false"/>
          <w:color w:val="000000"/>
          <w:sz w:val="22"/>
        </w:rPr>
        <w:t> </w:t>
      </w:r>
      <w:r>
        <w:rPr>
          <w:rFonts w:ascii="Times New Roman" w:hAnsi="Times New Roman"/>
          <w:b w:val="false"/>
          <w:i/>
          <w:color w:val="000000"/>
          <w:sz w:val="22"/>
        </w:rPr>
        <w:t xml:space="preserve">Professional liability insurance requirements. </w:t>
      </w:r>
      <w:r>
        <w:rPr>
          <w:rFonts w:ascii="Times New Roman" w:hAnsi="Times New Roman"/>
          <w:b w:val="false"/>
          <w:i w:val="false"/>
          <w:color w:val="000000"/>
          <w:sz w:val="22"/>
        </w:rPr>
        <w:t>All certified compliance inspectors are required to have professional liability insurance with minimum liability limits of $1 million per occurrence and in the aggregate.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474.pdf" Type="http://schemas.openxmlformats.org/officeDocument/2006/relationships/hyperlink" Id="rId4"/>
    <Relationship TargetMode="External" Target="https://www.legis.iowa.gov/docs/iac/chapter/567.13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