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134.4(1)</w:t>
      </w:r>
      <w:r>
        <w:rPr>
          <w:rFonts w:ascii="Times New Roman" w:hAnsi="Times New Roman"/>
          <w:b w:val="false"/>
          <w:i w:val="false"/>
          <w:color w:val="000000"/>
          <w:sz w:val="22"/>
        </w:rPr>
        <w:t> </w:t>
      </w:r>
      <w:r>
        <w:rPr>
          <w:rFonts w:ascii="Times New Roman" w:hAnsi="Times New Roman"/>
          <w:b w:val="false"/>
          <w:i/>
          <w:color w:val="000000"/>
          <w:sz w:val="22"/>
        </w:rPr>
        <w:t xml:space="preserve">Applications and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certifications shall be submitted on a form provided by the department along with all required supporting documentation. Certificates shall be issued and renewed on a two-year calendar basis. Groundwater professional certificates expire on December 31 of each odd-numbered year and all other certificates expire on December 31 of each even-numbered year. All applicants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meets the experience, education, and other qualification prerequisites contained in this chapter for each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necessary for a determination of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A $200 fee shall be submitted for each groundwater professional certification. For all other certifications, a $200 fee shall be submitted with each application for an initial company and individual certification application, including when an individual applies for multiple non-groundwater professional certifications using a single department-approved form. Fees are nonrefundable, are payable to the Department of Natural Resources, and will not be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Persons who are certified as a UST installer, installation inspector, tester, liner, or remover under another state or federal regulatory program that has been approved by the department may be eligible for certification in Iowa without having to take a course of instruction or pass the examination. Applicants for reciprocity shall still pay the application fee and follow certification renewal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