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567—134.13</w:t>
      </w:r>
      <w:r>
        <w:rPr>
          <w:rFonts w:ascii="Times New Roman" w:hAnsi="Times New Roman"/>
          <w:b/>
          <w:i w:val="false"/>
          <w:color w:val="000000"/>
          <w:sz w:val="22"/>
        </w:rPr>
        <w:t xml:space="preserve">(455B) </w:t>
      </w:r>
      <w:r>
        <w:rPr>
          <w:rFonts w:ascii="Times New Roman" w:hAnsi="Times New Roman"/>
          <w:b/>
          <w:i w:val="false"/>
          <w:color w:val="000000"/>
          <w:sz w:val="22"/>
        </w:rPr>
        <w:t xml:space="preserve">UST liners certification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134.13(1)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 xml:space="preserve">A person installing or repairing the lining for a UST system shall be certified as a liner. In addition to the certification requirements listed under </w:t>
      </w:r>
      <w:hyperlink r:id="rId4">
        <w:r>
          <w:rPr>
            <w:rStyle w:val="Hyperlink"/>
            <w:rFonts w:ascii="Times New Roman" w:hAnsi="Times New Roman"/>
            <w:b w:val="false"/>
            <w:i w:val="false"/>
            <w:color w:val="000000"/>
            <w:sz w:val="22"/>
          </w:rPr>
          <w:t>567—134.6</w:t>
        </w:r>
      </w:hyperlink>
      <w:r>
        <w:rPr>
          <w:rFonts w:ascii="Times New Roman" w:hAnsi="Times New Roman"/>
          <w:b w:val="false"/>
          <w:i w:val="false"/>
          <w:color w:val="000000"/>
          <w:sz w:val="22"/>
        </w:rPr>
        <w:t>(455B), a liner shall provide documentation of at least two years of relevant experience, provide documentation of current manufacturer certification, and have completed a 40-hour HAZWOPER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134.13(2)</w:t>
      </w:r>
      <w:r>
        <w:rPr>
          <w:rFonts w:ascii="Times New Roman" w:hAnsi="Times New Roman"/>
          <w:b w:val="false"/>
          <w:i w:val="false"/>
          <w:color w:val="000000"/>
          <w:sz w:val="22"/>
        </w:rPr>
        <w:t> </w:t>
      </w:r>
      <w:r>
        <w:rPr>
          <w:rFonts w:ascii="Times New Roman" w:hAnsi="Times New Roman"/>
          <w:b w:val="false"/>
          <w:i/>
          <w:color w:val="000000"/>
          <w:sz w:val="22"/>
        </w:rPr>
        <w:t xml:space="preserve">Renewal qualifications. </w:t>
      </w:r>
      <w:r>
        <w:rPr>
          <w:rFonts w:ascii="Times New Roman" w:hAnsi="Times New Roman"/>
          <w:b w:val="false"/>
          <w:i w:val="false"/>
          <w:color w:val="000000"/>
          <w:sz w:val="22"/>
        </w:rPr>
        <w:t>To be eligible for certification renewal, a liner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department’s continuing education requirements in </w:t>
      </w:r>
      <w:hyperlink r:id="rId5">
        <w:r>
          <w:rPr>
            <w:rStyle w:val="Hyperlink"/>
            <w:rFonts w:ascii="Times New Roman" w:hAnsi="Times New Roman"/>
            <w:b w:val="false"/>
            <w:i w:val="false"/>
            <w:color w:val="000000"/>
            <w:sz w:val="22"/>
          </w:rPr>
          <w:t>567—134.8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manufacturer certification;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 an annual eight-hour HAZWOPER refresher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134.13(3)</w:t>
      </w:r>
      <w:r>
        <w:rPr>
          <w:rFonts w:ascii="Times New Roman" w:hAnsi="Times New Roman"/>
          <w:b w:val="false"/>
          <w:i w:val="false"/>
          <w:color w:val="000000"/>
          <w:sz w:val="22"/>
        </w:rPr>
        <w:t> </w:t>
      </w:r>
      <w:r>
        <w:rPr>
          <w:rFonts w:ascii="Times New Roman" w:hAnsi="Times New Roman"/>
          <w:b w:val="false"/>
          <w:i/>
          <w:color w:val="000000"/>
          <w:sz w:val="22"/>
        </w:rPr>
        <w:t xml:space="preserve">Lining system investigation and installation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Inspection of internal lining. </w:t>
      </w:r>
      <w:r>
        <w:rPr>
          <w:rFonts w:ascii="Times New Roman" w:hAnsi="Times New Roman"/>
          <w:b w:val="false"/>
          <w:i w:val="false"/>
          <w:color w:val="000000"/>
          <w:sz w:val="22"/>
        </w:rPr>
        <w:t xml:space="preserve">A steel underground storage tank that satisfies the corrosion protection requirement as set forth in </w:t>
      </w:r>
      <w:hyperlink r:id="rId6">
        <w:r>
          <w:rPr>
            <w:rStyle w:val="Hyperlink"/>
            <w:rFonts w:ascii="Times New Roman" w:hAnsi="Times New Roman"/>
            <w:b w:val="false"/>
            <w:i w:val="false"/>
            <w:color w:val="000000"/>
            <w:sz w:val="22"/>
          </w:rPr>
          <w:t>567—subparagraph 135.3(2)</w:t>
        </w:r>
      </w:hyperlink>
      <w:r>
        <w:rPr>
          <w:rFonts w:ascii="Times New Roman" w:hAnsi="Times New Roman"/>
          <w:b w:val="false"/>
          <w:i/>
          <w:color w:val="000000"/>
          <w:sz w:val="22"/>
        </w:rPr>
        <w:t>“b”</w:t>
      </w:r>
      <w:r>
        <w:rPr>
          <w:rFonts w:ascii="Times New Roman" w:hAnsi="Times New Roman"/>
          <w:b w:val="false"/>
          <w:i w:val="false"/>
          <w:color w:val="000000"/>
          <w:sz w:val="22"/>
        </w:rPr>
        <w:t xml:space="preserve">(1) by the addition of an internal lining shall be internally inspected within ten years of the date the tank was lined and every five years thereafter. The purpose of the inspection is to determine if the lining continues to perform according to the manufacturer’s specifications, state and federal rules, and national standards and codes and to determine if the tank is still structurally sound. The department accepts both manned entry and video camera periodic inspections. The lining method employed must be specifically designed for the purpose, be compatible with the product stored, and meet acceptable federal and state standards as set forth in </w:t>
      </w:r>
      <w:hyperlink r:id="rId7">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Integrity testing for tanks. </w:t>
      </w:r>
      <w:r>
        <w:rPr>
          <w:rFonts w:ascii="Times New Roman" w:hAnsi="Times New Roman"/>
          <w:b w:val="false"/>
          <w:i w:val="false"/>
          <w:color w:val="000000"/>
          <w:sz w:val="22"/>
        </w:rPr>
        <w:t>Liners shall verify structural integrity, including thickness and strength of the underground storage tanks, whenever tanks are physically entered (manned entry) for periodic inspections. The following standards must be used for lining and periodic inspections and integrity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Manned entry inspection. American Petroleum Institute (API) Standard 1631: Interior Lining and Periodic Inspection of Underground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Video camera inspection. API Standard 1631: “Recommended Practice for Inspecting Buried Lined Steel Tanks Using a Video Camera” developed by Ken Wilcox Associates Inc. (KWA), Methods A and C; and ASTM G-158 (approved prediction models).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Repairs to lining. Standard 631 of the National Leak Prevention Association (NLPA): Entry, Cleaning, Interior Inspection, Repair and Lining of Underground Storage Tanks. Repaired lining must meet the requirements of API 1631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Documentation of the inspection. API 1631—Form C: Tank Re-Inspection Affidavit. Liners shall document any defects noted in the system including but not limited to holes and perforations using API 1631—Form C: Tank Re-Inspection Affidavit and shall include photographs of all methods of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work performed. </w:t>
      </w:r>
      <w:r>
        <w:rPr>
          <w:rFonts w:ascii="Times New Roman" w:hAnsi="Times New Roman"/>
          <w:b w:val="false"/>
          <w:i w:val="false"/>
          <w:color w:val="000000"/>
          <w:sz w:val="22"/>
        </w:rPr>
        <w:t>A liner shall submit the API 1631 report form to the department certifying that all work was performed in accordance with applicable industry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4.6.pdf" Type="http://schemas.openxmlformats.org/officeDocument/2006/relationships/hyperlink" Id="rId4"/>
    <Relationship TargetMode="External" Target="https://www.legis.iowa.gov/docs/iac/rule/567.134.8.pdf" Type="http://schemas.openxmlformats.org/officeDocument/2006/relationships/hyperlink" Id="rId5"/>
    <Relationship TargetMode="External" Target="https://www.legis.iowa.gov/docs/iac/rule/567.135.3.pdf" Type="http://schemas.openxmlformats.org/officeDocument/2006/relationships/hyperlink" Id="rId6"/>
    <Relationship TargetMode="External" Target="https://www.legis.iowa.gov/docs/iac/chapter/567.13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