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567—134.11</w:t>
      </w:r>
      <w:r>
        <w:rPr>
          <w:rFonts w:ascii="Times New Roman" w:hAnsi="Times New Roman"/>
          <w:b/>
          <w:i w:val="false"/>
          <w:color w:val="000000"/>
          <w:sz w:val="22"/>
        </w:rPr>
        <w:t xml:space="preserve">(455B) </w:t>
      </w:r>
      <w:r>
        <w:rPr>
          <w:rFonts w:ascii="Times New Roman" w:hAnsi="Times New Roman"/>
          <w:b/>
          <w:i w:val="false"/>
          <w:color w:val="000000"/>
          <w:sz w:val="22"/>
        </w:rPr>
        <w:t xml:space="preserve">UST installer certification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w:t>
      </w:r>
      <w:r>
        <w:rPr>
          <w:rFonts w:ascii="Times New Roman" w:hAnsi="Times New Roman"/>
          <w:b w:val="false"/>
          <w:i w:val="false"/>
          <w:color w:val="000000"/>
          <w:sz w:val="22"/>
        </w:rPr>
        <w:t xml:space="preserve">An installer of an UST system shall apply for a certification as an installer. In addition to the certification requirements listed under </w:t>
      </w:r>
      <w:hyperlink r:id="rId4">
        <w:r>
          <w:rPr>
            <w:rStyle w:val="Hyperlink"/>
            <w:rFonts w:ascii="Times New Roman" w:hAnsi="Times New Roman"/>
            <w:b w:val="false"/>
            <w:i w:val="false"/>
            <w:color w:val="000000"/>
            <w:sz w:val="22"/>
          </w:rPr>
          <w:t>567—134.6</w:t>
        </w:r>
      </w:hyperlink>
      <w:r>
        <w:rPr>
          <w:rFonts w:ascii="Times New Roman" w:hAnsi="Times New Roman"/>
          <w:b w:val="false"/>
          <w:i w:val="false"/>
          <w:color w:val="000000"/>
          <w:sz w:val="22"/>
        </w:rPr>
        <w:t>(455B), an installer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at least two years of relevant experience;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documentation of manufacturer certification for work, including but not limited to tank systems, piping systems, leak detection and monitoring systems, and corrosion protection systems;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completed a 40-hour OSHA Hazardous Waste Operations and Emergency Response (HAZWOPER) training.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134.11(2)</w:t>
      </w:r>
      <w:r>
        <w:rPr>
          <w:rFonts w:ascii="Times New Roman" w:hAnsi="Times New Roman"/>
          <w:b w:val="false"/>
          <w:i w:val="false"/>
          <w:color w:val="000000"/>
          <w:sz w:val="22"/>
        </w:rPr>
        <w:t> </w:t>
      </w:r>
      <w:r>
        <w:rPr>
          <w:rFonts w:ascii="Times New Roman" w:hAnsi="Times New Roman"/>
          <w:b w:val="false"/>
          <w:i/>
          <w:color w:val="000000"/>
          <w:sz w:val="22"/>
        </w:rPr>
        <w:t xml:space="preserve">Renewal qualifications. </w:t>
      </w:r>
      <w:r>
        <w:rPr>
          <w:rFonts w:ascii="Times New Roman" w:hAnsi="Times New Roman"/>
          <w:b w:val="false"/>
          <w:i w:val="false"/>
          <w:color w:val="000000"/>
          <w:sz w:val="22"/>
        </w:rPr>
        <w:t>To be eligible for certification renewal, an installer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Fulfill the department’s continuing education requirements in </w:t>
      </w:r>
      <w:hyperlink r:id="rId5">
        <w:r>
          <w:rPr>
            <w:rStyle w:val="Hyperlink"/>
            <w:rFonts w:ascii="Times New Roman" w:hAnsi="Times New Roman"/>
            <w:b w:val="false"/>
            <w:i w:val="false"/>
            <w:color w:val="000000"/>
            <w:sz w:val="22"/>
          </w:rPr>
          <w:t>567—134.8</w:t>
        </w:r>
      </w:hyperlink>
      <w:r>
        <w:rPr>
          <w:rFonts w:ascii="Times New Roman" w:hAnsi="Times New Roman"/>
          <w:b w:val="false"/>
          <w:i w:val="false"/>
          <w:color w:val="000000"/>
          <w:sz w:val="22"/>
        </w:rPr>
        <w:t>(455B);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Maintain manufacturer certification;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Complete an annual eight-hour HAZWOPER refresher course.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Certified installer. </w:t>
      </w:r>
      <w:r>
        <w:rPr>
          <w:rFonts w:ascii="Times New Roman" w:hAnsi="Times New Roman"/>
          <w:b w:val="false"/>
          <w:i w:val="false"/>
          <w:color w:val="000000"/>
          <w:sz w:val="22"/>
        </w:rPr>
        <w:t>A certified installer shall be on site during the performance of all work, including subcontracted work, for which the owner/operator has contracted to have completed by the installer. The certified installer is responsible for all UST-related work at the site and must ensure that the performance of the work and the finished work conform to industry standards and codes and manufacturers’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Local permits and notification. </w:t>
      </w:r>
      <w:r>
        <w:rPr>
          <w:rFonts w:ascii="Times New Roman" w:hAnsi="Times New Roman"/>
          <w:b w:val="false"/>
          <w:i w:val="false"/>
          <w:color w:val="000000"/>
          <w:sz w:val="22"/>
        </w:rPr>
        <w:t>The certified installer is responsible for ensuring that all local installation permits and notice requirements are satisfied.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Work performed. </w:t>
      </w:r>
      <w:r>
        <w:rPr>
          <w:rFonts w:ascii="Times New Roman" w:hAnsi="Times New Roman"/>
          <w:b w:val="false"/>
          <w:i w:val="false"/>
          <w:color w:val="000000"/>
          <w:sz w:val="22"/>
        </w:rPr>
        <w:t>UST system installation includes all work associated with the placement of the tanks, piping, pumps, dispensers, gauging systems, monitoring systems, containment sumps, spill and overfill devices, and ancillary systems that, if installed incorrectly, could cause or delay detection of a leak. Installation specifically includes excavation, equipment placement, backfilling, piping, electrical work, testing calibration, and start-up. Tank installation also includes installation of the appropriate equipment to meet National Emissions Standards for Hazardous Air Pollutants (NESHAP) requirements (</w:t>
      </w:r>
      <w:r>
        <w:rPr>
          <w:rFonts w:ascii="Times New Roman" w:hAnsi="Times New Roman"/>
          <w:b w:val="false"/>
          <w:i w:val="false"/>
          <w:color w:val="000000"/>
          <w:sz w:val="22"/>
        </w:rPr>
        <w:t>40 CFR §63.6580</w:t>
      </w:r>
      <w:r>
        <w:rPr>
          <w:rFonts w:ascii="Times New Roman" w:hAnsi="Times New Roman"/>
          <w:b w:val="false"/>
          <w:i w:val="false"/>
          <w:color w:val="000000"/>
          <w:sz w:val="22"/>
        </w:rPr>
        <w:t>, Subpart ZZZZ), including submerged fill and vapor balance systems (Stage 1 vapor recovery) and the testing of those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Testing of UST equipment. </w:t>
      </w:r>
      <w:r>
        <w:rPr>
          <w:rFonts w:ascii="Times New Roman" w:hAnsi="Times New Roman"/>
          <w:b w:val="false"/>
          <w:i w:val="false"/>
          <w:color w:val="000000"/>
          <w:sz w:val="22"/>
        </w:rPr>
        <w:t>Spill prevention equipment, containment sumps and UDC at new installations must be tested to ensure the equipment is liquid-tight before the UST system is placed into service. Acceptable test methods include vacuum, pressure, or liquid testing used in accordance with requirements developed by the manufacturer; a code of practice such as PEI RP1200; or methods determined by the department to be no less protective of human health and the environment than the requirements listed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134.11(4)</w:t>
      </w:r>
      <w:r>
        <w:rPr>
          <w:rFonts w:ascii="Times New Roman" w:hAnsi="Times New Roman"/>
          <w:b w:val="false"/>
          <w:i w:val="false"/>
          <w:color w:val="000000"/>
          <w:sz w:val="22"/>
        </w:rPr>
        <w:t> </w:t>
      </w:r>
      <w:r>
        <w:rPr>
          <w:rFonts w:ascii="Times New Roman" w:hAnsi="Times New Roman"/>
          <w:b w:val="false"/>
          <w:i/>
          <w:color w:val="000000"/>
          <w:sz w:val="22"/>
        </w:rPr>
        <w:t xml:space="preserve">Documentation of work performed. </w:t>
      </w:r>
      <w:r>
        <w:rPr>
          <w:rFonts w:ascii="Times New Roman" w:hAnsi="Times New Roman"/>
          <w:b w:val="false"/>
          <w:i w:val="false"/>
          <w:color w:val="000000"/>
          <w:sz w:val="22"/>
        </w:rPr>
        <w:t xml:space="preserve">Installing a new UST system or upgrading a UST system requires an installer to submit department forms and testing documents applicable to the installation, signed by the owner, to the department no later than 30 days after the final third-party inspection or 30 days after completion if no inspection is required. Each certified installer responsible for the new system installation or the upgrading of an existing system shall sign DNR Form 148 as required by </w:t>
      </w:r>
      <w:hyperlink r:id="rId6">
        <w:r>
          <w:rPr>
            <w:rStyle w:val="Hyperlink"/>
            <w:rFonts w:ascii="Times New Roman" w:hAnsi="Times New Roman"/>
            <w:b w:val="false"/>
            <w:i w:val="false"/>
            <w:color w:val="000000"/>
            <w:sz w:val="22"/>
          </w:rPr>
          <w:t>567—paragraph 135.3(3)</w:t>
        </w:r>
      </w:hyperlink>
      <w:r>
        <w:rPr>
          <w:rFonts w:ascii="Times New Roman" w:hAnsi="Times New Roman"/>
          <w:b w:val="false"/>
          <w:i/>
          <w:color w:val="000000"/>
          <w:sz w:val="22"/>
        </w:rPr>
        <w:t>“e.”</w:t>
      </w:r>
      <w:r>
        <w:rPr>
          <w:rFonts w:ascii="Times New Roman" w:hAnsi="Times New Roman"/>
          <w:b w:val="false"/>
          <w:i w:val="false"/>
          <w:color w:val="000000"/>
          <w:sz w:val="22"/>
        </w:rPr>
        <w:t xml:space="preserve"> Secondary containment testing performed at installation shall be recorded on the department’s Secondary Containment Testing form unless otherwise approved by the department. Test results shall be dated and signed by the certified installer who performed the test at installation.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0490D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567.134.6.pdf" Type="http://schemas.openxmlformats.org/officeDocument/2006/relationships/hyperlink" Id="rId4"/>
    <Relationship TargetMode="External" Target="https://www.legis.iowa.gov/docs/iac/rule/567.134.8.pdf" Type="http://schemas.openxmlformats.org/officeDocument/2006/relationships/hyperlink" Id="rId5"/>
    <Relationship TargetMode="External" Target="https://www.legis.iowa.gov/docs/iac/rule/567.135.3.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