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567—134.10</w:t>
      </w:r>
      <w:r>
        <w:rPr>
          <w:rFonts w:ascii="Times New Roman" w:hAnsi="Times New Roman"/>
          <w:b/>
          <w:i w:val="false"/>
          <w:color w:val="000000"/>
          <w:sz w:val="22"/>
        </w:rPr>
        <w:t xml:space="preserve">(455B) </w:t>
      </w:r>
      <w:r>
        <w:rPr>
          <w:rFonts w:ascii="Times New Roman" w:hAnsi="Times New Roman"/>
          <w:b/>
          <w:i w:val="false"/>
          <w:color w:val="000000"/>
          <w:sz w:val="22"/>
        </w:rPr>
        <w:t xml:space="preserve">UST compliance inspector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retained by an owner or operator of a UST facility for the purpose of determining compliance of a UST system for a compliance inspection required by the department under </w:t>
      </w:r>
      <w:hyperlink r:id="rId4">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(455B) must hold a current UST compliance inspector certification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Inspector certification will be issued by the department to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certification requirements listed under </w:t>
      </w:r>
      <w:hyperlink r:id="rId5">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Satisfies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certified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certified installation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participated on a minimum of 50 onsite compliance inspections with a certified compliance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two years of experience working with petroleum equipment, including installations, maintenance, or testing;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other relevant experience approved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not found to be in violation of this chapter and has not had a certification issued by the department under this chapter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 compliance inspector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Fulfilled the department’s continuing education requirements in </w:t>
      </w:r>
      <w:hyperlink r:id="rId6">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Conducted at least 12 compliance inspections 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134.10(3)</w:t>
      </w:r>
      <w:r>
        <w:rPr>
          <w:rFonts w:ascii="Times New Roman" w:hAnsi="Times New Roman"/>
          <w:b w:val="false"/>
          <w:i w:val="false"/>
          <w:color w:val="000000"/>
          <w:sz w:val="22"/>
        </w:rPr>
        <w:t> </w:t>
      </w:r>
      <w:r>
        <w:rPr>
          <w:rFonts w:ascii="Times New Roman" w:hAnsi="Times New Roman"/>
          <w:b w:val="false"/>
          <w:i/>
          <w:color w:val="000000"/>
          <w:sz w:val="22"/>
        </w:rPr>
        <w:t xml:space="preserve">UST compliance inspector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inspection. </w:t>
      </w:r>
      <w:r>
        <w:rPr>
          <w:rFonts w:ascii="Times New Roman" w:hAnsi="Times New Roman"/>
          <w:b w:val="false"/>
          <w:i w:val="false"/>
          <w:color w:val="000000"/>
          <w:sz w:val="22"/>
        </w:rPr>
        <w:t xml:space="preserve">The UST compliance inspector shall conduct a compliance inspection in accordance with this rule and </w:t>
      </w:r>
      <w:hyperlink r:id="rId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The inspector shall notify the department of the date of a site inspection at least ten days prior to the inspection or another time frame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site inspection, the inspector shall send an inspection report to the owner and operator within ten business days. At a minimum, the report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violations or deficiencies related to </w:t>
      </w:r>
      <w:hyperlink r:id="rId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other applicable state or federal law and those specific actions necessary to correct the violations or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Applicable time frames to correct violations or deficiencies if established in </w:t>
      </w:r>
      <w:hyperlink r:id="rId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within 60 days of receipt of the inspection report or another reasonable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 electronic report shall be submitted to the department and a copy provided to the owner and operator as provided in </w:t>
      </w:r>
      <w:hyperlink r:id="rId10">
        <w:r>
          <w:rPr>
            <w:rStyle w:val="Hyperlink"/>
            <w:rFonts w:ascii="Times New Roman" w:hAnsi="Times New Roman"/>
            <w:b w:val="false"/>
            <w:i w:val="false"/>
            <w:color w:val="000000"/>
            <w:sz w:val="22"/>
          </w:rPr>
          <w:t>134.10(3)</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of the inspection if the results of the inspection find no violations or deficiencies requiring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of the inspector’s receipt of all necessary documentation of all action required to correct violations and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any case, no later than 90 days of the 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deficiencies identified on the day of a compliance inspection must be reported to the department as a deficiency, regardless of when it is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inspection reporting. </w:t>
      </w:r>
      <w:r>
        <w:rPr>
          <w:rFonts w:ascii="Times New Roman" w:hAnsi="Times New Roman"/>
          <w:b w:val="false"/>
          <w:i w:val="false"/>
          <w:color w:val="000000"/>
          <w:sz w:val="22"/>
        </w:rPr>
        <w:t>The inspector shall prepare an electronic report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inspector shall enter the results of the site inspection discovered at the time of the inspection and any actions taken to correct violations and deficiencies on an internet-based electronic format developed by the department and in accordance with guidance. The department’s software will be capable of generating an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develop a generally compatible electronic platform using XML or another approved format. The department will provide the XML schema file format to describe the data needed to allow an inspector to transfer multiple site inspection results in an electronic batch process over the internet using the department’s inspection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inspector shall provide a print copy of the electronically generated inspection report to the owner and operator or an alternative report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inspection report submitted to the department electronically will include at least one overall site photo.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Evidence of violations or deficiencies. </w:t>
      </w:r>
      <w:r>
        <w:rPr>
          <w:rFonts w:ascii="Times New Roman" w:hAnsi="Times New Roman"/>
          <w:b w:val="false"/>
          <w:i w:val="false"/>
          <w:color w:val="000000"/>
          <w:sz w:val="22"/>
        </w:rPr>
        <w:t>Any evidence of violations or deficiencies observed during the inspection must be photographed using a digital photograph. Digital photographs must be submitted as part of the electronic inspection report and maintained by the inspector for five years as part of the inspector’s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inspector must provide any inspection records provided by the owner and operator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Inspection technical requirements. </w:t>
      </w:r>
      <w:r>
        <w:rPr>
          <w:rFonts w:ascii="Times New Roman" w:hAnsi="Times New Roman"/>
          <w:b w:val="false"/>
          <w:i w:val="false"/>
          <w:color w:val="000000"/>
          <w:sz w:val="22"/>
        </w:rPr>
        <w:t xml:space="preserve">An inspector of a UST system must check for compliance with the technical standards of </w:t>
      </w:r>
      <w:hyperlink r:id="rId11">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The inspection of a UST system currently in operation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material currently stored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tank and lines currently at the site as compared to the registered information on the department’s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Checking site records demonstrating operational compliance (</w:t>
      </w:r>
      <w:hyperlink r:id="rId12">
        <w:r>
          <w:rPr>
            <w:rStyle w:val="Hyperlink"/>
            <w:rFonts w:ascii="Times New Roman" w:hAnsi="Times New Roman"/>
            <w:b w:val="false"/>
            <w:i w:val="false"/>
            <w:color w:val="000000"/>
            <w:sz w:val="22"/>
          </w:rPr>
          <w:t>567—subrule 135.4(5)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Checking release detection records (</w:t>
      </w:r>
      <w:hyperlink r:id="rId13">
        <w:r>
          <w:rPr>
            <w:rStyle w:val="Hyperlink"/>
            <w:rFonts w:ascii="Times New Roman" w:hAnsi="Times New Roman"/>
            <w:b w:val="false"/>
            <w:i w:val="false"/>
            <w:color w:val="000000"/>
            <w:sz w:val="22"/>
          </w:rPr>
          <w:t>567—subrule 135.5(6)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Visually checking for releases or other violations by opening covers of dispensers, manways, and containment sumps for submersible pumps and other piping connections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Damaged or deteriorated product lines and underground fuel delivery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Visible indications the shear valve is leaking or has been damaged, altered, or modified in a manner that would prevent the valve from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Current operating status of impressed current cathodic protection system, if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Presence and operational condition of spill and overfill equipment (</w:t>
      </w:r>
      <w:hyperlink r:id="rId14">
        <w:r>
          <w:rPr>
            <w:rStyle w:val="Hyperlink"/>
            <w:rFonts w:ascii="Times New Roman" w:hAnsi="Times New Roman"/>
            <w:b w:val="false"/>
            <w:i w:val="false"/>
            <w:color w:val="000000"/>
            <w:sz w:val="22"/>
          </w:rPr>
          <w:t>567—paragraph 135.3(1)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compliance inspector shall not conduct a compliance inspection if the compliance inspector is the owner or operator of the UST system, an employee of the owner or operator of the UST system,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19.pdf" Type="http://schemas.openxmlformats.org/officeDocument/2006/relationships/hyperlink" Id="rId4"/>
    <Relationship TargetMode="External" Target="https://www.legis.iowa.gov/docs/iac/rule/567.134.6.pdf" Type="http://schemas.openxmlformats.org/officeDocument/2006/relationships/hyperlink" Id="rId5"/>
    <Relationship TargetMode="External" Target="https://www.legis.iowa.gov/docs/iac/rule/567.134.8.pdf" Type="http://schemas.openxmlformats.org/officeDocument/2006/relationships/hyperlink" Id="rId6"/>
    <Relationship TargetMode="External" Target="https://www.legis.iowa.gov/docs/iac/chapter/567.135.pdf" Type="http://schemas.openxmlformats.org/officeDocument/2006/relationships/hyperlink" Id="rId7"/>
    <Relationship TargetMode="External" Target="https://www.legis.iowa.gov/docs/iac/chapter/567.135.pdf" Type="http://schemas.openxmlformats.org/officeDocument/2006/relationships/hyperlink" Id="rId8"/>
    <Relationship TargetMode="External" Target="https://www.legis.iowa.gov/docs/iac/chapter/567.135.pdf" Type="http://schemas.openxmlformats.org/officeDocument/2006/relationships/hyperlink" Id="rId9"/>
    <Relationship TargetMode="External" Target="https://www.legis.iowa.gov/docs/iac/rule/567.134.10.pdf" Type="http://schemas.openxmlformats.org/officeDocument/2006/relationships/hyperlink" Id="rId10"/>
    <Relationship TargetMode="External" Target="https://www.legis.iowa.gov/docs/iac/chapter/567.135.pdf" Type="http://schemas.openxmlformats.org/officeDocument/2006/relationships/hyperlink" Id="rId11"/>
    <Relationship TargetMode="External" Target="https://www.legis.iowa.gov/docs/iac/rule/567.135.4.pdf" Type="http://schemas.openxmlformats.org/officeDocument/2006/relationships/hyperlink" Id="rId12"/>
    <Relationship TargetMode="External" Target="https://www.legis.iowa.gov/docs/iac/rule/567.135.5.pdf" Type="http://schemas.openxmlformats.org/officeDocument/2006/relationships/hyperlink" Id="rId13"/>
    <Relationship TargetMode="External" Target="https://www.legis.iowa.gov/docs/iac/rule/567.135.3.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