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567—134.1</w:t>
      </w:r>
      <w:r>
        <w:rPr>
          <w:rFonts w:ascii="Times New Roman" w:hAnsi="Times New Roman"/>
          <w:b/>
          <w:i w:val="false"/>
          <w:color w:val="000000"/>
          <w:sz w:val="22"/>
        </w:rPr>
        <w:t xml:space="preserve">(455B) </w:t>
      </w:r>
      <w:r>
        <w:rPr>
          <w:rFonts w:ascii="Times New Roman" w:hAnsi="Times New Roman"/>
          <w:b/>
          <w:i w:val="false"/>
          <w:color w:val="000000"/>
          <w:sz w:val="22"/>
        </w:rPr>
        <w:t xml:space="preserve">Scope. </w:t>
      </w:r>
      <w:r>
        <w:rPr>
          <w:rFonts w:ascii="Times New Roman" w:hAnsi="Times New Roman"/>
          <w:b w:val="false"/>
          <w:i w:val="false"/>
          <w:color w:val="000000"/>
          <w:sz w:val="22"/>
        </w:rPr>
        <w:t>The purpose of this chapter is to provide rules for the certification of groundwater professionals, compliance inspectors, and other UST professionals, including certification qualification, fees and administration. All rules, standards, technical guidance, and other similar legal or technical documents referenced in this chapter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