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567—109.7</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Derelict building grant program. </w:t>
      </w:r>
      <w:r>
        <w:rPr>
          <w:rFonts w:ascii="Times New Roman" w:hAnsi="Times New Roman"/>
          <w:b w:val="false"/>
          <w:i w:val="false"/>
          <w:color w:val="000000"/>
          <w:sz w:val="22"/>
        </w:rPr>
        <w:t>Financial assistance awarded under the derelict building grant program is available to cities of 5,000 or less to help improve the attractiveness and appearance of their jurisdictions by providing financial assistance for eligible projects. Each project must have a landfill diversion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Any city with a population of 5,000 or less is eligible to apply for a derelict building grant. An applicant may partner with a local nonprofit organization on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A city’s building is eligible for the program if the building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building is an abandoned commercial or public building of which a city has ownership or will obtain ownership no later than June 30 of the fiscal year in which the city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 is not on the National Register of Historic Places.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color w:val="000000"/>
          <w:sz w:val="22"/>
        </w:rPr>
        <w:t xml:space="preserve">Eligible activities and amount of financial assistance. </w:t>
      </w:r>
      <w:r>
        <w:rPr>
          <w:rFonts w:ascii="Times New Roman" w:hAnsi="Times New Roman"/>
          <w:b w:val="false"/>
          <w:i w:val="false"/>
          <w:color w:val="000000"/>
          <w:sz w:val="22"/>
        </w:rPr>
        <w:t>The eligible activities and amount of financial assistance for each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Asbestos-containing material inspections: 100 percent reimbursement for inspection costs conducted by a state of Iowa-licensed asbestos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Abatement of asbestos-containing material: 100 percent reimbursement, not to exceed $10,000, for abatement of ACM performed by a state of Iowa-licensed asbestos contractor. A 50 percent cost share is required for those costs exceeding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engineering analysis: 100 percent reimbursement not to exceed $1,500 for a structural engineering analysis conducted by a licensed structural engineer or architectural historian to determine the ability to renovate the building. The recipient is responsible for all costs exceeding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Phase I environmental assessment: 100 percent reimbursement not to exceed $3,000 for conducting a Phase I environmental assessment. The recipient is responsible for all costs exceeding $3,000.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Phase II environmental assessment: 50 percent reimbursement not to exceed $2,500 for conducting a Phase II environmental assessment. The recipient is responsible for all costs exceeding $5,000. The need for this assessment is determined by the results of the Phase I environmental assessment and involves the sampling of structure components, soil, and groundwater to confirm or deny the presence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Building renovation: 50 percent reimbursement not to exceed $50,000 for renovation costs,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Restoration or removal of materials for reuse, either at the site or off site, or for recycling.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Roof repair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Tuck-pointing of exterior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Deconstruction: 50 percent reimbursement not to exceed $50,000 for costs related to deconstruction. All deconstruction projects must achieve a minimum landfill diversion rate of 30 percent of the structure by weight to receive reimbursement for deconstruction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109.7(4)</w:t>
      </w:r>
      <w:r>
        <w:rPr>
          <w:rFonts w:ascii="Times New Roman" w:hAnsi="Times New Roman"/>
          <w:b w:val="false"/>
          <w:i w:val="false"/>
          <w:color w:val="000000"/>
          <w:sz w:val="22"/>
        </w:rPr>
        <w:t> </w:t>
      </w:r>
      <w:r>
        <w:rPr>
          <w:rFonts w:ascii="Times New Roman" w:hAnsi="Times New Roman"/>
          <w:b w:val="false"/>
          <w:i/>
          <w:color w:val="000000"/>
          <w:sz w:val="22"/>
        </w:rPr>
        <w:t xml:space="preserve">Deconstruction cost-share incentive. </w:t>
      </w:r>
      <w:r>
        <w:rPr>
          <w:rFonts w:ascii="Times New Roman" w:hAnsi="Times New Roman"/>
          <w:b w:val="false"/>
          <w:i w:val="false"/>
          <w:color w:val="000000"/>
          <w:sz w:val="22"/>
        </w:rPr>
        <w:t>For every additional 10 percent above 30 percent of landfill diversion by weight that is documented upon completion of the project, the applicant’s cost share is reduced by 5 percent and the grant award amount will increase by 5 percent. The maximum grant award for deconstruction projects shall not exceed $75,000.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