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567—109.4</w:t>
      </w:r>
      <w:r>
        <w:rPr>
          <w:rFonts w:ascii="Times New Roman" w:hAnsi="Times New Roman"/>
          <w:b/>
          <w:i w:val="false"/>
          <w:color w:val="000000"/>
          <w:sz w:val="22"/>
        </w:rPr>
        <w:t xml:space="preserve">(455B,455E,455J) </w:t>
      </w:r>
      <w:r>
        <w:rPr>
          <w:rFonts w:ascii="Times New Roman" w:hAnsi="Times New Roman"/>
          <w:b/>
          <w:i w:val="false"/>
          <w:color w:val="000000"/>
          <w:sz w:val="22"/>
        </w:rPr>
        <w:t xml:space="preserve">Requirements for financial assistance programs. </w:t>
      </w:r>
      <w:r>
        <w:rPr>
          <w:rFonts w:ascii="Times New Roman" w:hAnsi="Times New Roman"/>
          <w:b w:val="false"/>
          <w:i w:val="false"/>
          <w:color w:val="000000"/>
          <w:sz w:val="22"/>
        </w:rPr>
        <w:t xml:space="preserve">In addition to any of the requirements of Iowa Code chapters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color w:val="000000"/>
          <w:sz w:val="22"/>
        </w:rPr>
        <w:t xml:space="preserve">Requests for financial assistance. </w:t>
      </w:r>
      <w:r>
        <w:rPr>
          <w:rFonts w:ascii="Times New Roman" w:hAnsi="Times New Roman"/>
          <w:b w:val="false"/>
          <w:i w:val="false"/>
          <w:color w:val="000000"/>
          <w:sz w:val="22"/>
        </w:rPr>
        <w:t>Requests for financial assistance must be made by applicants on the relevant program application form provided by the department and according to accompanying guidance documentation that specifies program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color w:val="000000"/>
          <w:sz w:val="22"/>
        </w:rPr>
        <w:t xml:space="preserve">Awards and agreements for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shall enter into a written agreement with the department for the purposes of implementing the project for which financial assistance has been awarded. The agreement shall be signed by the appropriate department signatory and the recipient’s authorized signatory.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agreement must be executed between the department and the award recipient prior to the recipient incurring expenses. Awarded funds are disbursed on a reimbursable basis and are not to be incurred prior to executing a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terminate agreements and seek the return of funds released under the agreement for failure by the recipient to perform under the terms and conditions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Amendments to agreements may be adopted by mutual written consent of the department and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offer financial assistance awards in an amount less than that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funds to be disbursed, the recipient shall be in compliance with all applicable statutes and regulations as specified in the written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Mode="External" Target="https://www.legis.iowa.gov/docs/ico/chapter/455E.pdf" Type="http://schemas.openxmlformats.org/officeDocument/2006/relationships/hyperlink" Id="rId5"/>
    <Relationship TargetMode="External" Target="https://www.legis.iowa.gov/docs/ico/chapter/455J.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