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567—107.4</w:t>
      </w:r>
      <w:r>
        <w:rPr>
          <w:rFonts w:ascii="Times New Roman" w:hAnsi="Times New Roman"/>
          <w:b/>
          <w:i w:val="false"/>
          <w:color w:val="000000"/>
          <w:sz w:val="22"/>
        </w:rPr>
        <w:t xml:space="preserve">(455C) </w:t>
      </w:r>
      <w:r>
        <w:rPr>
          <w:rFonts w:ascii="Times New Roman" w:hAnsi="Times New Roman"/>
          <w:b/>
          <w:i w:val="false"/>
          <w:color w:val="000000"/>
          <w:sz w:val="22"/>
        </w:rPr>
        <w:t xml:space="preserve">Redemption centers. </w:t>
      </w:r>
      <w:r>
        <w:rPr>
          <w:rFonts w:ascii="Times New Roman" w:hAnsi="Times New Roman"/>
          <w:b w:val="false"/>
          <w:i w:val="false"/>
          <w:color w:val="000000"/>
          <w:sz w:val="22"/>
        </w:rPr>
        <w:t xml:space="preserve">The Act provides for both approved and unapproved redemption centers. Both approved and unapproved redemption centers redeem empty beverage containers and pay the refund value to consumers. Only approved redemption centers can satisfy the requirements of Iowa Code section </w:t>
      </w:r>
      <w:hyperlink r:id="rId4">
        <w:r>
          <w:rPr>
            <w:rStyle w:val="Hyperlink"/>
            <w:rFonts w:ascii="Times New Roman" w:hAnsi="Times New Roman"/>
            <w:b w:val="false"/>
            <w:i w:val="false"/>
            <w:color w:val="000000"/>
            <w:sz w:val="22"/>
          </w:rPr>
          <w:t>455C.4(2)</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val="false"/>
          <w:color w:val="000000"/>
          <w:sz w:val="22"/>
        </w:rPr>
        <w:t>2022 Iowa Acts, Senate File 2378</w:t>
      </w:r>
      <w:r>
        <w:rPr>
          <w:rFonts w:ascii="Times New Roman" w:hAnsi="Times New Roman"/>
          <w:b w:val="false"/>
          <w:i w:val="false"/>
          <w:color w:val="000000"/>
          <w:sz w:val="22"/>
        </w:rPr>
        <w:t xml:space="preserve">, section 19.1(a) or 19.1(b). Additionally, only approved redemption centers will be listed on the department’s electronic database pursuant to Iowa Code section </w:t>
      </w:r>
      <w:hyperlink r:id="rId5">
        <w:r>
          <w:rPr>
            <w:rStyle w:val="Hyperlink"/>
            <w:rFonts w:ascii="Times New Roman" w:hAnsi="Times New Roman"/>
            <w:b w:val="false"/>
            <w:i w:val="false"/>
            <w:color w:val="000000"/>
            <w:sz w:val="22"/>
          </w:rPr>
          <w:t>455C.4(2)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107.4(1)</w:t>
      </w:r>
      <w:r>
        <w:rPr>
          <w:rFonts w:ascii="Times New Roman" w:hAnsi="Times New Roman"/>
          <w:b w:val="false"/>
          <w:i w:val="false"/>
          <w:color w:val="000000"/>
          <w:sz w:val="22"/>
        </w:rPr>
        <w:t> </w:t>
      </w:r>
      <w:r>
        <w:rPr>
          <w:rFonts w:ascii="Times New Roman" w:hAnsi="Times New Roman"/>
          <w:b w:val="false"/>
          <w:i/>
          <w:color w:val="000000"/>
          <w:sz w:val="22"/>
        </w:rPr>
        <w:t xml:space="preserve">Approved redemption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may file with the department an application for approval of a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application for approval of a redemption center shall be submitted to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application. Redemption centers that wish to be considered approved under this chapter should file their application within 30 days of starting their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 renewals. All redemption centers should file their annual renewal application by January 31 of each subsequent year to allow the department to update its approved redemption center list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 requirements. A redemption center must submit a separate application for each facility, including if a redemption center is operating a mobile redemption system for a dealer or dealers. The information on the application will be included in an electronic database for consumers to locate the nearest approved redemption center; as such, applications must be resubmitted annually to ensure that contact information remains accurate. There is no fee to submit the application.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or persons responsible for the establishment and operation of the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operator of the redemption center understands it must accept all redeemable containers, except for those containers exempted in </w:t>
      </w:r>
      <w:hyperlink r:id="rId6">
        <w:r>
          <w:rPr>
            <w:rStyle w:val="Hyperlink"/>
            <w:rFonts w:ascii="Times New Roman" w:hAnsi="Times New Roman"/>
            <w:b w:val="false"/>
            <w:i w:val="false"/>
            <w:color w:val="000000"/>
            <w:sz w:val="22"/>
          </w:rPr>
          <w:t>567—107.13</w:t>
        </w:r>
      </w:hyperlink>
      <w:r>
        <w:rPr>
          <w:rFonts w:ascii="Times New Roman" w:hAnsi="Times New Roman"/>
          <w:b w:val="false"/>
          <w:i w:val="false"/>
          <w:color w:val="000000"/>
          <w:sz w:val="22"/>
        </w:rPr>
        <w:t>(455C);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redemption center will be operating a mobile redemption system and the location(s) where the system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electronic order of approval once a complete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rescind the order approving a redemption center if the department determines, after notice and hearing, that the redemption center is in violation of the Act or this chapter or that the redemption center is no longer meeting the above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redemption center shall accept from consumers and shall pay the refund value for all beverage containers that bear an Iowa refund value and those containers exempted from the labeling requirement pursuant to </w:t>
      </w:r>
      <w:hyperlink r:id="rId7">
        <w:r>
          <w:rPr>
            <w:rStyle w:val="Hyperlink"/>
            <w:rFonts w:ascii="Times New Roman" w:hAnsi="Times New Roman"/>
            <w:b w:val="false"/>
            <w:i w:val="false"/>
            <w:color w:val="000000"/>
            <w:sz w:val="22"/>
          </w:rPr>
          <w:t>107.3(10)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 approved redemption center is closing permanently, it shall give to the department notice that includes the redemption center’s final date of operation. As of the final date of operation, the redemption center’s approval as a redemption center shall be terminated and a dealer it was approved to serve shall no longer be an exempt dealer. An approved redemption center must notify the department and any dealers or distributors with which the redemption center has agreements 30 days prior to the redemption center’s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107.4(2)</w:t>
      </w:r>
      <w:r>
        <w:rPr>
          <w:rFonts w:ascii="Times New Roman" w:hAnsi="Times New Roman"/>
          <w:b w:val="false"/>
          <w:i w:val="false"/>
          <w:color w:val="000000"/>
          <w:sz w:val="22"/>
        </w:rPr>
        <w:t> </w:t>
      </w:r>
      <w:r>
        <w:rPr>
          <w:rFonts w:ascii="Times New Roman" w:hAnsi="Times New Roman"/>
          <w:b w:val="false"/>
          <w:i/>
          <w:color w:val="000000"/>
          <w:sz w:val="22"/>
        </w:rPr>
        <w:t xml:space="preserve">Refused container redemption centers. </w:t>
      </w:r>
      <w:r>
        <w:rPr>
          <w:rFonts w:ascii="Times New Roman" w:hAnsi="Times New Roman"/>
          <w:b w:val="false"/>
          <w:i w:val="false"/>
          <w:color w:val="000000"/>
          <w:sz w:val="22"/>
        </w:rPr>
        <w:t xml:space="preserve">Redemption centers required by Iowa Code section </w:t>
      </w:r>
      <w:hyperlink r:id="rId8">
        <w:r>
          <w:rPr>
            <w:rStyle w:val="Hyperlink"/>
            <w:rFonts w:ascii="Times New Roman" w:hAnsi="Times New Roman"/>
            <w:b w:val="false"/>
            <w:i w:val="false"/>
            <w:color w:val="000000"/>
            <w:sz w:val="22"/>
          </w:rPr>
          <w:t>455C.14</w:t>
        </w:r>
      </w:hyperlink>
      <w:r>
        <w:rPr>
          <w:rFonts w:ascii="Times New Roman" w:hAnsi="Times New Roman"/>
          <w:b w:val="false"/>
          <w:i w:val="false"/>
          <w:color w:val="000000"/>
          <w:sz w:val="22"/>
        </w:rPr>
        <w:t xml:space="preserve"> may be either “approved” or “unapproved.” To be “approved,” the facility must submit an application pursuant to </w:t>
      </w:r>
      <w:hyperlink r:id="rId9">
        <w:r>
          <w:rPr>
            <w:rStyle w:val="Hyperlink"/>
            <w:rFonts w:ascii="Times New Roman" w:hAnsi="Times New Roman"/>
            <w:b w:val="false"/>
            <w:i w:val="false"/>
            <w:color w:val="000000"/>
            <w:sz w:val="22"/>
          </w:rPr>
          <w:t>107.4(1)</w:t>
        </w:r>
      </w:hyperlink>
      <w:r>
        <w:rPr>
          <w:rFonts w:ascii="Times New Roman" w:hAnsi="Times New Roman"/>
          <w:b w:val="false"/>
          <w:i w:val="false"/>
          <w:color w:val="000000"/>
          <w:sz w:val="22"/>
        </w:rPr>
        <w:t xml:space="preserve">, which includes the requirement to accept all redeemable beverage containers except for those containers exempted in </w:t>
      </w:r>
      <w:hyperlink r:id="rId10">
        <w:r>
          <w:rPr>
            <w:rStyle w:val="Hyperlink"/>
            <w:rFonts w:ascii="Times New Roman" w:hAnsi="Times New Roman"/>
            <w:b w:val="false"/>
            <w:i w:val="false"/>
            <w:color w:val="000000"/>
            <w:sz w:val="22"/>
          </w:rPr>
          <w:t>567—107.13</w:t>
        </w:r>
      </w:hyperlink>
      <w:r>
        <w:rPr>
          <w:rFonts w:ascii="Times New Roman" w:hAnsi="Times New Roman"/>
          <w:b w:val="false"/>
          <w:i w:val="false"/>
          <w:color w:val="000000"/>
          <w:sz w:val="22"/>
        </w:rPr>
        <w:t>(455C).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C.4.pdf" Type="http://schemas.openxmlformats.org/officeDocument/2006/relationships/hyperlink" Id="rId4"/>
    <Relationship TargetMode="External" Target="https://www.legis.iowa.gov/docs/ico/chapter/455C.4.pdf" Type="http://schemas.openxmlformats.org/officeDocument/2006/relationships/hyperlink" Id="rId5"/>
    <Relationship TargetMode="External" Target="https://www.legis.iowa.gov/docs/iac/rule/567.107.13.pdf" Type="http://schemas.openxmlformats.org/officeDocument/2006/relationships/hyperlink" Id="rId6"/>
    <Relationship TargetMode="External" Target="https://www.legis.iowa.gov/docs/iac/rule/567.107.3.pdf" Type="http://schemas.openxmlformats.org/officeDocument/2006/relationships/hyperlink" Id="rId7"/>
    <Relationship TargetMode="External" Target="https://www.legis.iowa.gov/docs/ico/chapter/455C.14.pdf" Type="http://schemas.openxmlformats.org/officeDocument/2006/relationships/hyperlink" Id="rId8"/>
    <Relationship TargetMode="External" Target="https://www.legis.iowa.gov/docs/iac/rule/567.107.4.pdf" Type="http://schemas.openxmlformats.org/officeDocument/2006/relationships/hyperlink" Id="rId9"/>
    <Relationship TargetMode="External" Target="https://www.legis.iowa.gov/docs/iac/rule/567.107.1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