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567—107.14</w:t>
      </w:r>
      <w:r>
        <w:rPr>
          <w:rFonts w:ascii="Times New Roman" w:hAnsi="Times New Roman"/>
          <w:b/>
          <w:i w:val="false"/>
          <w:color w:val="000000"/>
          <w:sz w:val="22"/>
        </w:rPr>
        <w:t xml:space="preserve">(455C) </w:t>
      </w:r>
      <w:r>
        <w:rPr>
          <w:rFonts w:ascii="Times New Roman" w:hAnsi="Times New Roman"/>
          <w:b/>
          <w:i w:val="false"/>
          <w:color w:val="000000"/>
          <w:sz w:val="22"/>
        </w:rPr>
        <w:t xml:space="preserve">Payment to redemption centers and dealer agents delivering containers to distributors. </w:t>
      </w:r>
      <w:r>
        <w:rPr>
          <w:rFonts w:ascii="Times New Roman" w:hAnsi="Times New Roman"/>
          <w:b w:val="false"/>
          <w:i w:val="false"/>
          <w:color w:val="000000"/>
          <w:sz w:val="22"/>
        </w:rPr>
        <w:t>A distributor shall issue to a redemption center or dealer agent payment of the refund value and handling fee within one week of delivery and acceptance of empty beverage containers, unless otherwise agreed to by both the redemption center and the distributor or by both the dealer agent and the distributor, as the case may be.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0487D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4"/>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footer.xml" Type="http://schemas.openxmlformats.org/officeDocument/2006/relationships/footer"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