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567—105.5</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 of hazardous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color w:val="000000"/>
          <w:sz w:val="22"/>
        </w:rPr>
        <w:t xml:space="preserve">Initial report. </w:t>
      </w:r>
      <w:r>
        <w:rPr>
          <w:rFonts w:ascii="Times New Roman" w:hAnsi="Times New Roman"/>
          <w:b w:val="false"/>
          <w:i w:val="false"/>
          <w:color w:val="000000"/>
          <w:sz w:val="22"/>
        </w:rPr>
        <w:t xml:space="preserve">Any person manufacturing, storing, handling, transporting, or disposing of a hazardous substance shall report a hazardous condition to the department and either the local police department or the office of the sheriff of the county where the hazardous condition occurred. The initial report shall be made as soon as possible but not later than six hours after the onset or discovery of the hazardous condition. The initial report shall provide information on as many items listed in </w:t>
      </w:r>
      <w:hyperlink r:id="rId4">
        <w:r>
          <w:rPr>
            <w:rStyle w:val="Hyperlink"/>
            <w:rFonts w:ascii="Times New Roman" w:hAnsi="Times New Roman"/>
            <w:b w:val="false"/>
            <w:i w:val="false"/>
            <w:color w:val="000000"/>
            <w:sz w:val="22"/>
          </w:rPr>
          <w:t>105.5(2)</w:t>
        </w:r>
      </w:hyperlink>
      <w:r>
        <w:rPr>
          <w:rFonts w:ascii="Times New Roman" w:hAnsi="Times New Roman"/>
          <w:b w:val="false"/>
          <w:i w:val="false"/>
          <w:color w:val="000000"/>
          <w:sz w:val="22"/>
        </w:rPr>
        <w:t xml:space="preserve"> as available data will allow.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color w:val="000000"/>
          <w:sz w:val="22"/>
        </w:rPr>
        <w:t xml:space="preserve">Follow-up report. </w:t>
      </w:r>
      <w:r>
        <w:rPr>
          <w:rFonts w:ascii="Times New Roman" w:hAnsi="Times New Roman"/>
          <w:b w:val="false"/>
          <w:i w:val="false"/>
          <w:color w:val="000000"/>
          <w:sz w:val="22"/>
        </w:rPr>
        <w:t>The responsible party shall submit a follow-up report of a hazardous condition to the department within 30 days of the initial report. The follow-up report may be submitted electronically or via hard copy. The follow-up report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and date of onset or discovery of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material, the manufacturer’s name, the volume of each material involved in the hazardous condition, and any contaminants within the material that, by themselves, could cause a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medium (land, water or air) in which the hazardous condition occurred or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and phone number of the person responsible for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time and date of the initial report to the department of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weather conditions at the time of the hazardous condition onset 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email address and phone number of the person reporting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and phone number of the person closest to the scene of the hazardous condition who can be contacted for further information and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such as the circumstances leading to the hazardous condition, visible effects and containment measures taken, that may assist in proper evaluation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105.5(3)</w:t>
      </w:r>
      <w:r>
        <w:rPr>
          <w:rFonts w:ascii="Times New Roman" w:hAnsi="Times New Roman"/>
          <w:b w:val="false"/>
          <w:i w:val="false"/>
          <w:color w:val="000000"/>
          <w:sz w:val="22"/>
        </w:rPr>
        <w:t> </w:t>
      </w:r>
      <w:r>
        <w:rPr>
          <w:rFonts w:ascii="Times New Roman" w:hAnsi="Times New Roman"/>
          <w:b w:val="false"/>
          <w:i/>
          <w:color w:val="000000"/>
          <w:sz w:val="22"/>
        </w:rPr>
        <w:t xml:space="preserve">Reporting of subsequent findings. </w:t>
      </w:r>
      <w:r>
        <w:rPr>
          <w:rFonts w:ascii="Times New Roman" w:hAnsi="Times New Roman"/>
          <w:b w:val="false"/>
          <w:i w:val="false"/>
          <w:color w:val="000000"/>
          <w:sz w:val="22"/>
        </w:rPr>
        <w:t>All subsequent findings and laboratory results shall be reported and submitted electronically or in writing to the department as soon as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