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567—105.211</w:t>
      </w:r>
      <w:r>
        <w:rPr>
          <w:rFonts w:ascii="Times New Roman" w:hAnsi="Times New Roman"/>
          <w:b/>
          <w:i w:val="false"/>
          <w:color w:val="000000"/>
          <w:sz w:val="22"/>
        </w:rPr>
        <w:t xml:space="preserve">(455H) </w:t>
      </w:r>
      <w:r>
        <w:rPr>
          <w:rFonts w:ascii="Times New Roman" w:hAnsi="Times New Roman"/>
          <w:b/>
          <w:i w:val="false"/>
          <w:color w:val="000000"/>
          <w:sz w:val="22"/>
        </w:rPr>
        <w:t xml:space="preserve">No further action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enrolled site shall be eligible to obtain a no further action classification when the department determines the participant has met all compliance standards of this division applicable to the affected area, and the hazardous substances identified and evaluated such that no further response action is required other than maintenance of institutional or technological controls or certain specified continuing site activities. Upon request of a participant or other protected party, and compliance with applicable standards, the department will issue a no further action certificate to each protected party requesting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 further action classification may be conditioned upon the continued maintenance and effectiveness of any applicable institutional or technological control in accordance with </w:t>
      </w:r>
      <w:hyperlink r:id="rId4">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105.211(2)</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 </w:t>
      </w:r>
      <w:r>
        <w:rPr>
          <w:rFonts w:ascii="Times New Roman" w:hAnsi="Times New Roman"/>
          <w:b w:val="false"/>
          <w:i w:val="false"/>
          <w:color w:val="000000"/>
          <w:sz w:val="22"/>
        </w:rPr>
        <w:t xml:space="preserve">A no further action certificate shall be in a form recordable in the county real estate records as provided in Iowa Code chapter </w:t>
      </w:r>
      <w:hyperlink r:id="rId5">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and consistent with the model forms developed by the department. The no further action certificate may be recorded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105.211(3)</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conditioned on institutional and technological controls. </w:t>
      </w:r>
      <w:r>
        <w:rPr>
          <w:rFonts w:ascii="Times New Roman" w:hAnsi="Times New Roman"/>
          <w:b w:val="false"/>
          <w:i w:val="false"/>
          <w:color w:val="000000"/>
          <w:sz w:val="22"/>
        </w:rPr>
        <w:t>A no further action certificate conditioned upon the continuing effectiveness and maintenance of institutional and technological controls or other continuing requirements must be recorded with the consent of the fee titleholder for each parcel of affected property subject to the controls and for parcels of property for which prevention of exposure is dependent upon the continuing effectiveness and maintenance of the controls. If a participant is not able to record the no further action certificate on a parcel within the affected area due to objections of the fee titleholder or other legal restraints, this alone shall not be a basis for denying or rescinding the no further action classification or the certificate or the legal protections attendant to the no further action classification. Any modification or termination of institutional and technological controls shall be noted in an amended no further action certificate and shall be recorded as to any property subject to an earlier recorded certificate or institutional control. If a no further action certificate is required to be recorded, the no further action classification is not effective until the document is recorded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105.211(4)</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The department shall prepare a public notice prior to approval of any no further action classification that is conditioned upon use of institutional or technological control(s). The public notice will describe the results of the risk assessment conducted in the affected area, any proposed or completed response action, the vertical and horizontal extent and concentrations of existing soil and groundwater contamination in the affected area, and the actual and potential pathways of exposure the controls are intended to address. The notice will describe the purpose of the institutional and technological control(s) being proposed and the predicted period of coverage. The notice will provide the opportunity for members of the public to review department files, make written comments and request a public hearing. The department may schedule a public hearing on the basis of requests from the public and when it determines the particular remedial options proposed for a site warrant public consideration, for example, when issues of whether and to what concentrations gross contamination should be allowed to remain within the affected area given the relative effectiveness of institutional controls and other community concerns and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served by certified mail on all property owners that the actual or modeled data indicates are or may be affected by the present or future conditions addressed by the control. The notice will be published in a newspaper of general circulation most likely to reach persons in the immediate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controls are intended to restrict surface or subsurface future land use, the notice shall be sent to each local regulatory body having jurisdiction and control over or a direct interest in regulation of these activities. These may include but are not limited to municipal or county zoning boards, municipal building authorities, public utilities, and economic development agencies. If the controls are intended to restrict groundwater use, the notice shall be sent to the county or city board of health responsible for private well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notice to an interested party shall not constitute a basis for invalidating a subsequently approved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105.211(5)</w:t>
      </w:r>
      <w:r>
        <w:rPr>
          <w:rFonts w:ascii="Times New Roman" w:hAnsi="Times New Roman"/>
          <w:b w:val="false"/>
          <w:i w:val="false"/>
          <w:color w:val="000000"/>
          <w:sz w:val="22"/>
        </w:rPr>
        <w:t> </w:t>
      </w:r>
      <w:r>
        <w:rPr>
          <w:rFonts w:ascii="Times New Roman" w:hAnsi="Times New Roman"/>
          <w:b w:val="false"/>
          <w:i/>
          <w:color w:val="000000"/>
          <w:sz w:val="22"/>
        </w:rPr>
        <w:t xml:space="preserve">Scope of liability protection. </w:t>
      </w:r>
      <w:r>
        <w:rPr>
          <w:rFonts w:ascii="Times New Roman" w:hAnsi="Times New Roman"/>
          <w:b w:val="false"/>
          <w:i w:val="false"/>
          <w:color w:val="000000"/>
          <w:sz w:val="22"/>
        </w:rPr>
        <w:t xml:space="preserve">Upon issuance of the no further action certificate by the department, the liability protection provisions contained in Iowa Code chapter </w:t>
      </w:r>
      <w:hyperlink r:id="rId6">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subchapter 3, apply. The scope of the no further action classification and the scope of liability protection extend only to that area of affected property as defined by actual and modeled contaminant data and the specific environmental condition for which a regulatory standard has been met and approved by a no further action classification. The scope of protection corresponds to the scope of the site assessment conducted by the participant, the exposure pathways actually evaluated by the assessment report and reviewed by the department, and the hazardous substances identified in that assessment for which compliance with a department-approved standard has been achieved. Liability protection does not apply to releases, sources of contamination, hazardous substances or other environmental conditions not expressly addressed in the participant’s site assessment, response action or specifically referenced in the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105.211(6)</w:t>
      </w:r>
      <w:r>
        <w:rPr>
          <w:rFonts w:ascii="Times New Roman" w:hAnsi="Times New Roman"/>
          <w:b w:val="false"/>
          <w:i w:val="false"/>
          <w:color w:val="000000"/>
          <w:sz w:val="22"/>
        </w:rPr>
        <w:t> </w:t>
      </w:r>
      <w:r>
        <w:rPr>
          <w:rFonts w:ascii="Times New Roman" w:hAnsi="Times New Roman"/>
          <w:b w:val="false"/>
          <w:i/>
          <w:color w:val="000000"/>
          <w:sz w:val="22"/>
        </w:rPr>
        <w:t xml:space="preserve">Reopener and reclassification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grounds to reopen and rescind a no further action certificate and consider reclassification of the affected area if specified conditions of the no further action certificate are not maintained, or if institutional or technological controls fail to meet their intended purpose or are determined to be ineffective and unenforceable. If the conditions upon which the no further action certificate was issued cannot be corrected or reinstated, the department may rescind the certificate. The effect of termination is to put all parties in the same position as if the no further action certificate had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further action certificate is issued without conditions or technological and institutional controls, and conditions should arise that might require further corrective action, the department may require further response action by a participant or protected party only as provided in Iowa Code section </w:t>
      </w:r>
      <w:hyperlink r:id="rId7">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xml:space="preserve">. The department may require further response action against a statutorily responsible party who is not a participant or other protected party. If the participant was a person having control over a hazardous substance, as defined in Iowa Code section </w:t>
      </w:r>
      <w:hyperlink r:id="rId8">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at the time of the release, a no further action certificate may require further response action to protect against an imminent and substantial threat to public health and safety and the environment. Another protected party who was a person having control over a hazardous substance, as defined above, may be required by the department to conduct a further response action, where appropriate, to protect against an imminent and substantial threat to public health and safety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7.pdf" Type="http://schemas.openxmlformats.org/officeDocument/2006/relationships/hyperlink" Id="rId4"/>
    <Relationship TargetMode="External" Target="https://www.legis.iowa.gov/docs/ico/chapter/558.pdf" Type="http://schemas.openxmlformats.org/officeDocument/2006/relationships/hyperlink" Id="rId5"/>
    <Relationship TargetMode="External" Target="https://www.legis.iowa.gov/docs/ico/chapter/455H.pdf" Type="http://schemas.openxmlformats.org/officeDocument/2006/relationships/hyperlink" Id="rId6"/>
    <Relationship TargetMode="External" Target="https://www.legis.iowa.gov/docs/ico/chapter/455H.301.pdf" Type="http://schemas.openxmlformats.org/officeDocument/2006/relationships/hyperlink" Id="rId7"/>
    <Relationship TargetMode="External" Target="https://www.legis.iowa.gov/docs/ico/chapter/455B.38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