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567—105.207</w:t>
      </w:r>
      <w:r>
        <w:rPr>
          <w:rFonts w:ascii="Times New Roman" w:hAnsi="Times New Roman"/>
          <w:b/>
          <w:i w:val="false"/>
          <w:color w:val="000000"/>
          <w:sz w:val="22"/>
        </w:rPr>
        <w:t xml:space="preserve">(455H) </w:t>
      </w:r>
      <w:r>
        <w:rPr>
          <w:rFonts w:ascii="Times New Roman" w:hAnsi="Times New Roman"/>
          <w:b/>
          <w:i w:val="false"/>
          <w:color w:val="000000"/>
          <w:sz w:val="22"/>
        </w:rPr>
        <w:t xml:space="preserve">Technological and institutional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105.207(1)</w:t>
      </w:r>
      <w:r>
        <w:rPr>
          <w:rFonts w:ascii="Times New Roman" w:hAnsi="Times New Roman"/>
          <w:b w:val="false"/>
          <w:i w:val="false"/>
          <w:color w:val="000000"/>
          <w:sz w:val="22"/>
        </w:rPr>
        <w:t> </w:t>
      </w:r>
      <w:r>
        <w:rPr>
          <w:rFonts w:ascii="Times New Roman" w:hAnsi="Times New Roman"/>
          <w:b w:val="false"/>
          <w:i/>
          <w:color w:val="000000"/>
          <w:sz w:val="22"/>
        </w:rPr>
        <w:t xml:space="preserve">Technological controls. </w:t>
      </w:r>
      <w:r>
        <w:rPr>
          <w:rFonts w:ascii="Times New Roman" w:hAnsi="Times New Roman"/>
          <w:b w:val="false"/>
          <w:i w:val="false"/>
          <w:color w:val="000000"/>
          <w:sz w:val="22"/>
        </w:rPr>
        <w:t>The purpose of a technological control is to effectively sever a pathway by use of technologies such that an applicable receptor could not be exposed to hazardous substances above an applicable target risk level. Subject to limitations in this division, technological controls are an acceptable response action either alone or in combination with other remediation systems and institutional controls. The purpose of technological controls may be to control plume migration through use of containment technologies, barriers, or other methods, as an interim or permanent response action or to permanently sever a pathway to a receptor. Technological controls may also be appropriate to treat or control contamination at the point of exposure. Any technological control proposed as a permanent response action option without meeting the reduction in contaminant concentrations objectives must establish that the pathway to a receptor will be permanently severed or controlled. The effectiveness of a technological control must be monitored under a department-approved plan. The department may require reasonable proof of financial assurance when necessary to ensure that a technological control remain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105.207(2)</w:t>
      </w:r>
      <w:r>
        <w:rPr>
          <w:rFonts w:ascii="Times New Roman" w:hAnsi="Times New Roman"/>
          <w:b w:val="false"/>
          <w:i w:val="false"/>
          <w:color w:val="000000"/>
          <w:sz w:val="22"/>
        </w:rPr>
        <w:t> </w:t>
      </w:r>
      <w:r>
        <w:rPr>
          <w:rFonts w:ascii="Times New Roman" w:hAnsi="Times New Roman"/>
          <w:b w:val="false"/>
          <w:i/>
          <w:color w:val="000000"/>
          <w:sz w:val="22"/>
        </w:rPr>
        <w:t xml:space="preserve">Institutional controls. </w:t>
      </w:r>
      <w:r>
        <w:rPr>
          <w:rFonts w:ascii="Times New Roman" w:hAnsi="Times New Roman"/>
          <w:b w:val="false"/>
          <w:i w:val="false"/>
          <w:color w:val="000000"/>
          <w:sz w:val="22"/>
        </w:rPr>
        <w:t>The purpose of an institutional control is to restrict access to or use of an affected area such that an existing or future receptor could not be exposed to hazardous substances addressed by the controls for as long as the target level is exceeded at applicable points of exposure and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105.207(3)</w:t>
      </w:r>
      <w:r>
        <w:rPr>
          <w:rFonts w:ascii="Times New Roman" w:hAnsi="Times New Roman"/>
          <w:b w:val="false"/>
          <w:i w:val="false"/>
          <w:color w:val="000000"/>
          <w:sz w:val="22"/>
        </w:rPr>
        <w:t> </w:t>
      </w:r>
      <w:r>
        <w:rPr>
          <w:rFonts w:ascii="Times New Roman" w:hAnsi="Times New Roman"/>
          <w:b w:val="false"/>
          <w:i/>
          <w:color w:val="000000"/>
          <w:sz w:val="22"/>
        </w:rPr>
        <w:t xml:space="preserve">Institutional and technological controls. </w:t>
      </w:r>
      <w:r>
        <w:rPr>
          <w:rFonts w:ascii="Times New Roman" w:hAnsi="Times New Roman"/>
          <w:b w:val="false"/>
          <w:i w:val="false"/>
          <w:color w:val="000000"/>
          <w:sz w:val="22"/>
        </w:rPr>
        <w:t>Single or multiple institutional controls may be used alone or in combination and may also be employed with technological controls and response action to effectively achieve, maintain and enforce an approved level of risk reduction and risk management. The following enumeration of types of institutional and technological controls is not a finding that each is per se an effective control. The effectiveness of any institutional or technological control or combination of controls must be evaluated on a case-by-case basis and in accordance with specified conditions in this division. Institutional and technological controls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 or federal law or regulation that can be shown to effectively achieve, maintain and enforce the required land-use restrictions and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ordinance of any political subdivision of the state that can be shown to effectively achieve, maintain and enforce the required land-use restrictions and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contractual obligation recorded and executed in a manner satisfying Iowa Code chapter </w:t>
      </w:r>
      <w:hyperlink r:id="rId4">
        <w:r>
          <w:rPr>
            <w:rStyle w:val="Hyperlink"/>
            <w:rFonts w:ascii="Times New Roman" w:hAnsi="Times New Roman"/>
            <w:b w:val="false"/>
            <w:i w:val="false"/>
            <w:color w:val="000000"/>
            <w:sz w:val="22"/>
          </w:rPr>
          <w:t>558</w:t>
        </w:r>
      </w:hyperlink>
      <w:r>
        <w:rPr>
          <w:rFonts w:ascii="Times New Roman" w:hAnsi="Times New Roman"/>
          <w:b w:val="false"/>
          <w:i w:val="false"/>
          <w:color w:val="000000"/>
          <w:sz w:val="22"/>
        </w:rPr>
        <w:t xml:space="preserve">. Recorded notices and affidavits, including a no further action certificate as provided in </w:t>
      </w:r>
      <w:hyperlink r:id="rId5">
        <w:r>
          <w:rPr>
            <w:rStyle w:val="Hyperlink"/>
            <w:rFonts w:ascii="Times New Roman" w:hAnsi="Times New Roman"/>
            <w:b w:val="false"/>
            <w:i w:val="false"/>
            <w:color w:val="000000"/>
            <w:sz w:val="22"/>
          </w:rPr>
          <w:t>567—105.211</w:t>
        </w:r>
      </w:hyperlink>
      <w:r>
        <w:rPr>
          <w:rFonts w:ascii="Times New Roman" w:hAnsi="Times New Roman"/>
          <w:b w:val="false"/>
          <w:i w:val="false"/>
          <w:color w:val="000000"/>
          <w:sz w:val="22"/>
        </w:rPr>
        <w:t>(455H), which do not create rights or obligations or restrict land use but serve to put current and future property owners on notice of present or future conditions within the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control that the participant demonstrates to the department reduces or manages the risk from a release through the period necessary to comply with the applicable standards, including but not limited to, informational devices such as public notices, informational registries, notices to regulatory authorities and continuing site activities such as periodic inspections, equipment repair and maintenance, and soil and groundwater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environmental covenant established in accordance with Iowa Code chapter </w:t>
      </w:r>
      <w:hyperlink r:id="rId6">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 xml:space="preserve"> and section </w:t>
      </w:r>
      <w:hyperlink r:id="rId7">
        <w:r>
          <w:rPr>
            <w:rStyle w:val="Hyperlink"/>
            <w:rFonts w:ascii="Times New Roman" w:hAnsi="Times New Roman"/>
            <w:b w:val="false"/>
            <w:i w:val="false"/>
            <w:color w:val="000000"/>
            <w:sz w:val="22"/>
          </w:rPr>
          <w:t>455H.206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105.207(4)</w:t>
      </w:r>
      <w:r>
        <w:rPr>
          <w:rFonts w:ascii="Times New Roman" w:hAnsi="Times New Roman"/>
          <w:b w:val="false"/>
          <w:i w:val="false"/>
          <w:color w:val="000000"/>
          <w:sz w:val="22"/>
        </w:rPr>
        <w:t> </w:t>
      </w:r>
      <w:r>
        <w:rPr>
          <w:rFonts w:ascii="Times New Roman" w:hAnsi="Times New Roman"/>
          <w:b w:val="false"/>
          <w:i/>
          <w:color w:val="000000"/>
          <w:sz w:val="22"/>
        </w:rPr>
        <w:t xml:space="preserve">No further action certificates. </w:t>
      </w:r>
      <w:r>
        <w:rPr>
          <w:rFonts w:ascii="Times New Roman" w:hAnsi="Times New Roman"/>
          <w:b w:val="false"/>
          <w:i w:val="false"/>
          <w:color w:val="000000"/>
          <w:sz w:val="22"/>
        </w:rPr>
        <w:t xml:space="preserve">Any no further action certificate shall contain a specific reference to any applicable institutional and technological control and shall meet the requirements in </w:t>
      </w:r>
      <w:hyperlink r:id="rId8">
        <w:r>
          <w:rPr>
            <w:rStyle w:val="Hyperlink"/>
            <w:rFonts w:ascii="Times New Roman" w:hAnsi="Times New Roman"/>
            <w:b w:val="false"/>
            <w:i w:val="false"/>
            <w:color w:val="000000"/>
            <w:sz w:val="22"/>
          </w:rPr>
          <w:t>567—105.211</w:t>
        </w:r>
      </w:hyperlink>
      <w:r>
        <w:rPr>
          <w:rFonts w:ascii="Times New Roman" w:hAnsi="Times New Roman"/>
          <w:b w:val="false"/>
          <w:i w:val="false"/>
          <w:color w:val="000000"/>
          <w:sz w:val="22"/>
        </w:rPr>
        <w:t>(455H). The reference must identify the location of any recorded instrument, contractual agreement or other documents applicable to the control, provide a brief description of the terms of the control and, where appropriate, site diagrams.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105.207(5)</w:t>
      </w:r>
      <w:r>
        <w:rPr>
          <w:rFonts w:ascii="Times New Roman" w:hAnsi="Times New Roman"/>
          <w:b w:val="false"/>
          <w:i w:val="false"/>
          <w:color w:val="000000"/>
          <w:sz w:val="22"/>
        </w:rPr>
        <w:t> </w:t>
      </w:r>
      <w:r>
        <w:rPr>
          <w:rFonts w:ascii="Times New Roman" w:hAnsi="Times New Roman"/>
          <w:b w:val="false"/>
          <w:i/>
          <w:color w:val="000000"/>
          <w:sz w:val="22"/>
        </w:rPr>
        <w:t xml:space="preserve">Failure of an institutional and technological control(s). </w:t>
      </w:r>
      <w:r>
        <w:rPr>
          <w:rFonts w:ascii="Times New Roman" w:hAnsi="Times New Roman"/>
          <w:b w:val="false"/>
          <w:i w:val="false"/>
          <w:color w:val="000000"/>
          <w:sz w:val="22"/>
        </w:rPr>
        <w:t>The effectiveness of institutional and technological controls may be jeopardized for several reasons including situations where the technological controls are no longer effective in achieving their technical objectives, the validity of technological or institutional control is challenged due to a pending or final administrative or judicial action or legislative action changing its regulatory effect (e.g., change in an ordinance), or persons fail to comply with the terms of the institutional or technological control. The effect of the failure of a technological or institutional control to achieve its intended purpose is to remove the no further action classification and put all interested parties in the same position had the no further action classification not been made. When the department has reason to believe a technological or institutional control is jeopardized or determines that the control is no longer effective, the following policy and procedure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reasonable efforts to provide notice of the failure or noncompliance to the participant(s), protected parties, persons having legal standing to enforce the terms of the controls, other persons who may be legally responsible for contamination at the site and persons legally obligated to comply with the terms of the controls. The notice shall inform these parties of the consequences of failure of the controls and provide the opportunity for one or more of them to correct the deficiency by taking further response action or undertaking enforcement action to obtain compliance with the terms of the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participant(s) and other persons legally responsible for contamination at the site shall have primary responsibility to correct deficiencies or seek enforcement of the terms of controls, if they wish to maintain a no further action classification and any attendant statutory protections. The department may in its discretion seek enforcement of controls where persons fail to comply with the terms when it determines there is a strong likelihood of success, other participant(s) or legally responsible persons are unable or unwilling to undertake enforcement, and utilization of the controls remains consistent with these rules and site conditions currently in effect at the site. However, the department is not obligated to seek enforcement of the terms of any technological or institutional controls nor does the election not to undertake enforcement constitute a defense to further action by responsible parties or a basis for challenging the rescission of the no further action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elect to require statutorily responsible parties to correct the deficiency as an alternative to rescinding the no further action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participant to timely undertake additional response action may result in termination of enrollment and loss of benefits under these rules and Iowa Code chapter </w:t>
      </w:r>
      <w:hyperlink r:id="rId9">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Any person found to have intentionally violated an environmental protection easement or other institutional or technological control, whether included in a no further action certificate or as part of an approved response action, may lose any of the benefits under these rules or Iowa Code chapter </w:t>
      </w:r>
      <w:hyperlink r:id="rId10">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105.207(6)</w:t>
      </w:r>
      <w:r>
        <w:rPr>
          <w:rFonts w:ascii="Times New Roman" w:hAnsi="Times New Roman"/>
          <w:b w:val="false"/>
          <w:i w:val="false"/>
          <w:color w:val="000000"/>
          <w:sz w:val="22"/>
        </w:rPr>
        <w:t> </w:t>
      </w:r>
      <w:r>
        <w:rPr>
          <w:rFonts w:ascii="Times New Roman" w:hAnsi="Times New Roman"/>
          <w:b w:val="false"/>
          <w:i/>
          <w:color w:val="000000"/>
          <w:sz w:val="22"/>
        </w:rPr>
        <w:t xml:space="preserve">Modification and termination of institutional and technological controls. </w:t>
      </w:r>
      <w:r>
        <w:rPr>
          <w:rFonts w:ascii="Times New Roman" w:hAnsi="Times New Roman"/>
          <w:b w:val="false"/>
          <w:i w:val="false"/>
          <w:color w:val="000000"/>
          <w:sz w:val="22"/>
        </w:rPr>
        <w:t xml:space="preserve">A participant or successor in interest to a participant, or an owner of property subject to an institutional or technological control, may seek approval from the department for the removal, discontinuance, modification or termination of an institutional or technological control. The person must demonstrate that the control in its present form is no longer required to ensure compliance with applicable standards. The person seeking revision must undertake sufficient risk assessment and provide sufficient assessment data to establish that the applicable compliance standards can be met based on the proposed modification. The department may also determine based on a revised assessment that the applicable controls are no longer effective to meet compliance standards and may require other response action. The department shall issue an amendment to any previously issued no further action certificate specifying the approved modification of the institutional or technological controls. Modification and termination of an environmental covenant shall be consistent with these rules and shall conform with Iowa Code chapter </w:t>
      </w:r>
      <w:hyperlink r:id="rId11">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58.pdf" Type="http://schemas.openxmlformats.org/officeDocument/2006/relationships/hyperlink" Id="rId4"/>
    <Relationship TargetMode="External" Target="https://www.legis.iowa.gov/docs/iac/rule/567.105.211.pdf" Type="http://schemas.openxmlformats.org/officeDocument/2006/relationships/hyperlink" Id="rId5"/>
    <Relationship TargetMode="External" Target="https://www.legis.iowa.gov/docs/ico/chapter/455I.pdf" Type="http://schemas.openxmlformats.org/officeDocument/2006/relationships/hyperlink" Id="rId6"/>
    <Relationship TargetMode="External" Target="https://www.legis.iowa.gov/docs/ico/chapter/455H.206.pdf" Type="http://schemas.openxmlformats.org/officeDocument/2006/relationships/hyperlink" Id="rId7"/>
    <Relationship TargetMode="External" Target="https://www.legis.iowa.gov/docs/iac/rule/567.105.211.pdf" Type="http://schemas.openxmlformats.org/officeDocument/2006/relationships/hyperlink" Id="rId8"/>
    <Relationship TargetMode="External" Target="https://www.legis.iowa.gov/docs/ico/chapter/455H.pdf" Type="http://schemas.openxmlformats.org/officeDocument/2006/relationships/hyperlink" Id="rId9"/>
    <Relationship TargetMode="External" Target="https://www.legis.iowa.gov/docs/ico/chapter/455H.pdf" Type="http://schemas.openxmlformats.org/officeDocument/2006/relationships/hyperlink" Id="rId10"/>
    <Relationship TargetMode="External" Target="https://www.legis.iowa.gov/docs/ico/chapter/455I.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