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567—105.205</w:t>
      </w:r>
      <w:r>
        <w:rPr>
          <w:rFonts w:ascii="Times New Roman" w:hAnsi="Times New Roman"/>
          <w:b/>
          <w:i w:val="false"/>
          <w:color w:val="000000"/>
          <w:sz w:val="22"/>
        </w:rPr>
        <w:t xml:space="preserve">(455H) </w:t>
      </w:r>
      <w:r>
        <w:rPr>
          <w:rFonts w:ascii="Times New Roman" w:hAnsi="Times New Roman"/>
          <w:b/>
          <w:i w:val="false"/>
          <w:color w:val="000000"/>
          <w:sz w:val="22"/>
        </w:rPr>
        <w:t xml:space="preserve">Statewide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rule defines the basis and procedure for establishing statewide standards for contaminants in groundwater, soil, and surface water. Statewide standards for groundwater and soil represent concentrations of contaminants in these media at which normal exposure via ingestion and dermal contact with soil is considered unlikely to pose a threat to human health. Statewide standards for surface water are based on protection of aquatic life and protection of human health. This rule also describes how air standards are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Statewide standards described herein address what are considered to be the most likely, normal exposure situations within the state of Iowa. Statewide standards for groundwater address direct exposure via ingestion to individual contaminants in the media of concern only. Statewide standards for soil address direct exposure to individual contaminants via ingestion and dermal contact in the media of concern only. In the event exposure to multiple contaminants may occur or exposure from more than one medium may occur, statewide standards alone may not be protective of human health; therefore, cumulative risk standards must be met in accordance with </w:t>
      </w:r>
      <w:hyperlink r:id="rId4">
        <w:r>
          <w:rPr>
            <w:rStyle w:val="Hyperlink"/>
            <w:rFonts w:ascii="Times New Roman" w:hAnsi="Times New Roman"/>
            <w:b w:val="false"/>
            <w:i w:val="false"/>
            <w:color w:val="000000"/>
            <w:sz w:val="22"/>
          </w:rPr>
          <w:t>105.210(7)</w:t>
        </w:r>
      </w:hyperlink>
      <w:r>
        <w:rPr>
          <w:rFonts w:ascii="Times New Roman" w:hAnsi="Times New Roman"/>
          <w:b w:val="false"/>
          <w:i w:val="false"/>
          <w:color w:val="000000"/>
          <w:sz w:val="22"/>
        </w:rPr>
        <w:t xml:space="preserve">. In addition, the department may deny the use of the statewide standards prescribed herein and require the use of site-specific standards based on site-specific conditions pursuant to </w:t>
      </w:r>
      <w:hyperlink r:id="rId5">
        <w:r>
          <w:rPr>
            <w:rStyle w:val="Hyperlink"/>
            <w:rFonts w:ascii="Times New Roman" w:hAnsi="Times New Roman"/>
            <w:b w:val="false"/>
            <w:i w:val="false"/>
            <w:color w:val="000000"/>
            <w:sz w:val="22"/>
          </w:rPr>
          <w:t>105.206(10)</w:t>
        </w:r>
      </w:hyperlink>
      <w:r>
        <w:rPr>
          <w:rFonts w:ascii="Times New Roman" w:hAnsi="Times New Roman"/>
          <w:b w:val="false"/>
          <w:i w:val="false"/>
          <w:color w:val="000000"/>
          <w:sz w:val="22"/>
        </w:rPr>
        <w:t>. Examples of exposure concerns not anticipated by the statewide standards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Significant plant uptake of contaminants from soil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Contaminants entering drinking water lines from contact with soil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Ecological concerns, other than for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Groundwater in a nonprotected groundwater source that is used or likely to be used for drinking water or other use.</w:t>
      </w:r>
    </w:p>
    <w:p>
      <w:pPr>
        <w:spacing w:before="0" w:after="0"/>
        <w:ind w:left="120"/>
        <w:jc w:val="both"/>
      </w:pPr>
      <w:r>
        <w:rPr>
          <w:rFonts w:ascii="Times New Roman" w:hAnsi="Times New Roman"/>
          <w:b/>
          <w:i w:val="false"/>
          <w:color w:val="000000"/>
          <w:sz w:val="22"/>
        </w:rPr>
        <w:t>105.205(3)</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risk-based contaminant concentrations.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Risk-based concentration formula. </w:t>
      </w:r>
      <w:r>
        <w:rPr>
          <w:rFonts w:ascii="Times New Roman" w:hAnsi="Times New Roman"/>
          <w:b w:val="false"/>
          <w:i w:val="false"/>
          <w:color w:val="000000"/>
          <w:sz w:val="22"/>
        </w:rPr>
        <w:t>Risk-based contaminant concentrations for soil and groundwater, except lead, shall be computed using the following formula, where appropriate:</w:t>
      </w:r>
    </w:p>
    <w:p>
      <w:pPr>
        <w:spacing w:before="60" w:after="0"/>
        <w:ind w:left="120"/>
        <w:jc w:val="left"/>
      </w:pPr>
      <w:r>
        <w:rPr>
          <w:rFonts w:ascii="Times New Roman" w:hAnsi="Times New Roman"/>
          <w:b w:val="false"/>
          <w:i w:val="false"/>
          <w:color w:val="000000"/>
          <w:sz w:val="22"/>
        </w:rPr>
        <w:t>(Formula I)</w:t>
      </w:r>
    </w:p>
    <w:tbl>
      <w:tblPr>
        <w:tblW w:w="0" w:type="auto"/>
        <w:tblCellSpacing w:w="0" w:type="auto"/>
        <w:tblBorders>
          <w:top w:val="none"/>
          <w:left w:val="none"/>
          <w:bottom w:val="none"/>
          <w:right w:val="none"/>
          <w:insideH w:val="none"/>
          <w:insideV w:val="none"/>
        </w:tblBorders>
        <w:tblLayout w:type="fixed"/>
      </w:tblPr>
      <w:tblGrid>
        <w:gridCol w:w="892"/>
        <w:gridCol w:w="891"/>
        <w:gridCol w:w="7169"/>
      </w:tblGrid>
      <w:tr>
        <w:trPr>
          <w:trHeight w:val="195" w:hRule="atLeast"/>
        </w:trPr>
        <w:tc>
          <w:tcPr>
            <w:tcW w:w="892" w:type="dxa"/>
            <w:vMerge w:val="restart"/>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C </w:t>
            </w:r>
          </w:p>
        </w:tc>
        <w:tc>
          <w:tcPr>
            <w:tcW w:w="891" w:type="dxa"/>
            <w:vMerge w:val="restart"/>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w:t>
            </w:r>
          </w:p>
        </w:tc>
        <w:tc>
          <w:tcPr>
            <w:tcW w:w="716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RF×AT×365 days/year</w:t>
            </w:r>
          </w:p>
        </w:tc>
      </w:tr>
      <w:tr>
        <w:trPr>
          <w:trHeight w:val="255" w:hRule="atLeast"/>
        </w:trPr>
        <w:tc>
          <w:tcPr>
            <w:tcW w:w="0" w:type="auto"/>
            <w:vMerge/>
            <w:tcBorders>
              <w:top w:val="nil"/>
            </w:tcBorders>
          </w:tcPr>
          <w:p/>
        </w:tc>
        <w:tc>
          <w:tcPr>
            <w:tcW w:w="0" w:type="auto"/>
            <w:vMerge/>
            <w:tcBorders>
              <w:top w:val="nil"/>
            </w:tcBorders>
          </w:tcPr>
          <w:p/>
        </w:tc>
        <w:tc>
          <w:tcPr>
            <w:tcW w:w="716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Abs×[(ER</w:t>
            </w:r>
            <w:r>
              <w:rPr>
                <w:rFonts w:ascii="Times New Roman" w:hAnsi="Times New Roman"/>
                <w:b w:val="false"/>
                <w:i w:val="false"/>
                <w:color w:val="000000"/>
                <w:sz w:val="14"/>
                <w:vertAlign w:val="subscript"/>
              </w:rPr>
              <w:t>c</w:t>
            </w:r>
            <w:r>
              <w:rPr>
                <w:rFonts w:ascii="Times New Roman" w:hAnsi="Times New Roman"/>
                <w:b w:val="false"/>
                <w:i w:val="false"/>
                <w:color w:val="000000"/>
                <w:sz w:val="14"/>
              </w:rPr>
              <w:t>×EF</w:t>
            </w:r>
            <w:r>
              <w:rPr>
                <w:rFonts w:ascii="Times New Roman" w:hAnsi="Times New Roman"/>
                <w:b w:val="false"/>
                <w:i w:val="false"/>
                <w:color w:val="000000"/>
                <w:sz w:val="14"/>
                <w:vertAlign w:val="subscript"/>
              </w:rPr>
              <w:t>c</w:t>
            </w:r>
            <w:r>
              <w:rPr>
                <w:rFonts w:ascii="Times New Roman" w:hAnsi="Times New Roman"/>
                <w:b w:val="false"/>
                <w:i w:val="false"/>
                <w:color w:val="000000"/>
                <w:sz w:val="14"/>
              </w:rPr>
              <w:t>×ED</w:t>
            </w:r>
            <w:r>
              <w:rPr>
                <w:rFonts w:ascii="Times New Roman" w:hAnsi="Times New Roman"/>
                <w:b w:val="false"/>
                <w:i w:val="false"/>
                <w:color w:val="000000"/>
                <w:sz w:val="14"/>
                <w:vertAlign w:val="subscript"/>
              </w:rPr>
              <w:t>c</w:t>
            </w:r>
            <w:r>
              <w:rPr>
                <w:rFonts w:ascii="Times New Roman" w:hAnsi="Times New Roman"/>
                <w:b w:val="false"/>
                <w:i w:val="false"/>
                <w:color w:val="000000"/>
                <w:sz w:val="14"/>
              </w:rPr>
              <w:t>)÷BW</w:t>
            </w:r>
            <w:r>
              <w:rPr>
                <w:rFonts w:ascii="Times New Roman" w:hAnsi="Times New Roman"/>
                <w:b w:val="false"/>
                <w:i w:val="false"/>
                <w:color w:val="000000"/>
                <w:sz w:val="14"/>
                <w:vertAlign w:val="subscript"/>
              </w:rPr>
              <w:t>c</w:t>
            </w:r>
            <w:r>
              <w:rPr>
                <w:rFonts w:ascii="Times New Roman" w:hAnsi="Times New Roman"/>
                <w:b w:val="false"/>
                <w:i w:val="false"/>
                <w:color w:val="000000"/>
                <w:sz w:val="14"/>
              </w:rPr>
              <w:t>+(ER</w:t>
            </w:r>
            <w:r>
              <w:rPr>
                <w:rFonts w:ascii="Times New Roman" w:hAnsi="Times New Roman"/>
                <w:b w:val="false"/>
                <w:i w:val="false"/>
                <w:color w:val="000000"/>
                <w:sz w:val="14"/>
                <w:vertAlign w:val="subscript"/>
              </w:rPr>
              <w:t>a</w:t>
            </w:r>
            <w:r>
              <w:rPr>
                <w:rFonts w:ascii="Times New Roman" w:hAnsi="Times New Roman"/>
                <w:b w:val="false"/>
                <w:i w:val="false"/>
                <w:color w:val="000000"/>
                <w:sz w:val="14"/>
              </w:rPr>
              <w:t>×EF</w:t>
            </w:r>
            <w:r>
              <w:rPr>
                <w:rFonts w:ascii="Times New Roman" w:hAnsi="Times New Roman"/>
                <w:b w:val="false"/>
                <w:i w:val="false"/>
                <w:color w:val="000000"/>
                <w:sz w:val="14"/>
                <w:vertAlign w:val="subscript"/>
              </w:rPr>
              <w:t>a</w:t>
            </w:r>
            <w:r>
              <w:rPr>
                <w:rFonts w:ascii="Times New Roman" w:hAnsi="Times New Roman"/>
                <w:b w:val="false"/>
                <w:i w:val="false"/>
                <w:color w:val="000000"/>
                <w:sz w:val="14"/>
              </w:rPr>
              <w:t>×ED</w:t>
            </w:r>
            <w:r>
              <w:rPr>
                <w:rFonts w:ascii="Times New Roman" w:hAnsi="Times New Roman"/>
                <w:b w:val="false"/>
                <w:i w:val="false"/>
                <w:color w:val="000000"/>
                <w:sz w:val="14"/>
                <w:vertAlign w:val="subscript"/>
              </w:rPr>
              <w:t>a</w:t>
            </w:r>
            <w:r>
              <w:rPr>
                <w:rFonts w:ascii="Times New Roman" w:hAnsi="Times New Roman"/>
                <w:b w:val="false"/>
                <w:i w:val="false"/>
                <w:color w:val="000000"/>
                <w:sz w:val="14"/>
              </w:rPr>
              <w:t>)÷BW</w:t>
            </w:r>
            <w:r>
              <w:rPr>
                <w:rFonts w:ascii="Times New Roman" w:hAnsi="Times New Roman"/>
                <w:b w:val="false"/>
                <w:i w:val="false"/>
                <w:color w:val="000000"/>
                <w:sz w:val="14"/>
                <w:vertAlign w:val="subscript"/>
              </w:rPr>
              <w:t>a</w:t>
            </w:r>
            <w:r>
              <w:rPr>
                <w:rFonts w:ascii="Times New Roman" w:hAnsi="Times New Roman"/>
                <w:b w:val="false"/>
                <w:i w:val="false"/>
                <w:color w:val="000000"/>
                <w:sz w:val="14"/>
              </w:rPr>
              <w:t>]×CF</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When a risk-based concentration is computed for two routes of exposure to the same medium (e.g., soil oral exposure and soil dermal exposure), the composite risk-based concentration equals the multiple of the risk-based concentration for each route of exposure divided by the sum of the risk-based concentration for each route of exposure.</w:t>
      </w:r>
    </w:p>
    <w:p>
      <w:pPr>
        <w:spacing w:before="0" w:after="0"/>
        <w:ind w:left="120"/>
        <w:jc w:val="both"/>
      </w:pPr>
      <w:r>
        <w:rPr>
          <w:rFonts w:ascii="Times New Roman" w:hAnsi="Times New Roman"/>
          <w:b w:val="false"/>
          <w:i w:val="false"/>
          <w:color w:val="000000"/>
          <w:sz w:val="22"/>
        </w:rPr>
        <w:t>Where: C = Concentration of contaminant (soil: mg/kg, water: mg/l)</w:t>
      </w:r>
    </w:p>
    <w:p>
      <w:pPr>
        <w:spacing w:before="0" w:after="0"/>
        <w:ind w:left="120"/>
        <w:jc w:val="both"/>
      </w:pPr>
      <w:r>
        <w:rPr>
          <w:rFonts w:ascii="Times New Roman" w:hAnsi="Times New Roman"/>
          <w:b w:val="false"/>
          <w:i w:val="false"/>
          <w:color w:val="000000"/>
          <w:sz w:val="22"/>
        </w:rPr>
        <w:t>RF = Risk factor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protection from cancer health risks:</w:t>
      </w:r>
    </w:p>
    <w:p>
      <w:pPr>
        <w:spacing w:before="0" w:after="0"/>
        <w:ind w:left="120"/>
        <w:jc w:val="both"/>
      </w:pPr>
      <w:r>
        <w:rPr>
          <w:rFonts w:ascii="Times New Roman" w:hAnsi="Times New Roman"/>
          <w:b w:val="false"/>
          <w:i w:val="false"/>
          <w:color w:val="000000"/>
          <w:sz w:val="22"/>
        </w:rPr>
        <w:t>RF = TR ÷ SF</w:t>
      </w:r>
    </w:p>
    <w:p>
      <w:pPr>
        <w:spacing w:before="0" w:after="0"/>
        <w:ind w:left="120"/>
        <w:jc w:val="both"/>
      </w:pPr>
      <w:r>
        <w:rPr>
          <w:rFonts w:ascii="Times New Roman" w:hAnsi="Times New Roman"/>
          <w:b w:val="false"/>
          <w:i w:val="false"/>
          <w:color w:val="000000"/>
          <w:sz w:val="22"/>
        </w:rPr>
        <w:t>Where: TR = Target cancer risk (unitless)</w:t>
      </w:r>
    </w:p>
    <w:p>
      <w:pPr>
        <w:spacing w:before="0" w:after="0"/>
        <w:ind w:left="120"/>
        <w:jc w:val="both"/>
      </w:pPr>
      <w:r>
        <w:rPr>
          <w:rFonts w:ascii="Times New Roman" w:hAnsi="Times New Roman"/>
          <w:b w:val="false"/>
          <w:i w:val="false"/>
          <w:color w:val="000000"/>
          <w:sz w:val="22"/>
        </w:rPr>
        <w:t>SF = Slope factor [(mg/kg)/day]</w:t>
      </w:r>
      <w:r>
        <w:rPr>
          <w:rFonts w:ascii="Times New Roman" w:hAnsi="Times New Roman"/>
          <w:b w:val="false"/>
          <w:i w:val="false"/>
          <w:color w:val="000000"/>
          <w:sz w:val="11"/>
          <w:vertAlign w:val="superscript"/>
        </w:rPr>
        <w:t>-1</w:t>
      </w:r>
      <w:r>
        <w:rPr>
          <w:rFonts w:ascii="Times New Roman" w:hAnsi="Times New Roman"/>
          <w:b w:val="false"/>
          <w:i w:val="false"/>
          <w:color w:val="000000"/>
          <w:sz w:val="22"/>
        </w:rPr>
        <w:t xml:space="preserve"> for a route of exposure; see </w:t>
      </w:r>
      <w:hyperlink r:id="rId6">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source.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protection from noncancer health risks:</w:t>
      </w:r>
    </w:p>
    <w:p>
      <w:pPr>
        <w:spacing w:before="0" w:after="0"/>
        <w:ind w:left="120"/>
        <w:jc w:val="both"/>
      </w:pPr>
      <w:r>
        <w:rPr>
          <w:rFonts w:ascii="Times New Roman" w:hAnsi="Times New Roman"/>
          <w:b w:val="false"/>
          <w:i w:val="false"/>
          <w:color w:val="000000"/>
          <w:sz w:val="22"/>
        </w:rPr>
        <w:t>RF = THQ × RfD</w:t>
      </w:r>
    </w:p>
    <w:p>
      <w:pPr>
        <w:spacing w:before="0" w:after="0"/>
        <w:ind w:left="120"/>
        <w:jc w:val="both"/>
      </w:pPr>
      <w:r>
        <w:rPr>
          <w:rFonts w:ascii="Times New Roman" w:hAnsi="Times New Roman"/>
          <w:b w:val="false"/>
          <w:i w:val="false"/>
          <w:color w:val="000000"/>
          <w:sz w:val="22"/>
        </w:rPr>
        <w:t>Where: THQ = Target hazard quotient (unitless)</w:t>
      </w:r>
    </w:p>
    <w:p>
      <w:pPr>
        <w:spacing w:before="0" w:after="0"/>
        <w:ind w:left="120"/>
        <w:jc w:val="both"/>
      </w:pPr>
      <w:r>
        <w:rPr>
          <w:rFonts w:ascii="Times New Roman" w:hAnsi="Times New Roman"/>
          <w:b w:val="false"/>
          <w:i w:val="false"/>
          <w:color w:val="000000"/>
          <w:sz w:val="22"/>
        </w:rPr>
        <w:t xml:space="preserve">RfD = Reference dose (mg/kg)/day for a route of exposure; see </w:t>
      </w:r>
      <w:hyperlink r:id="rId7">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for</w:t>
      </w:r>
    </w:p>
    <w:p>
      <w:pPr>
        <w:spacing w:before="0" w:after="0"/>
        <w:ind w:left="120"/>
        <w:jc w:val="both"/>
      </w:pPr>
      <w:r>
        <w:rPr>
          <w:rFonts w:ascii="Times New Roman" w:hAnsi="Times New Roman"/>
          <w:b w:val="false"/>
          <w:i w:val="false"/>
          <w:color w:val="000000"/>
          <w:sz w:val="22"/>
        </w:rPr>
        <w:t>source.</w:t>
      </w:r>
    </w:p>
    <w:p>
      <w:pPr>
        <w:spacing w:before="0" w:after="0"/>
        <w:ind w:left="120"/>
        <w:jc w:val="both"/>
      </w:pPr>
      <w:r>
        <w:rPr>
          <w:rFonts w:ascii="Times New Roman" w:hAnsi="Times New Roman"/>
          <w:b w:val="false"/>
          <w:i w:val="false"/>
          <w:color w:val="000000"/>
          <w:sz w:val="22"/>
        </w:rPr>
        <w:t>AT = Averaging time (years); time over which exposure is averaged and potential adverse effects may occur</w:t>
      </w:r>
    </w:p>
    <w:p>
      <w:pPr>
        <w:spacing w:before="0" w:after="0"/>
        <w:ind w:left="120"/>
        <w:jc w:val="both"/>
      </w:pPr>
      <w:r>
        <w:rPr>
          <w:rFonts w:ascii="Times New Roman" w:hAnsi="Times New Roman"/>
          <w:b w:val="false"/>
          <w:i w:val="false"/>
          <w:color w:val="000000"/>
          <w:sz w:val="22"/>
        </w:rPr>
        <w:t>Abs = Absorption factor (unitless); portion of exposed contaminant absorbed by the body</w:t>
      </w:r>
    </w:p>
    <w:p>
      <w:pPr>
        <w:spacing w:before="0" w:after="0"/>
        <w:ind w:left="120"/>
        <w:jc w:val="both"/>
      </w:pPr>
      <w:r>
        <w:rPr>
          <w:rFonts w:ascii="Times New Roman" w:hAnsi="Times New Roman"/>
          <w:b w:val="false"/>
          <w:i w:val="false"/>
          <w:color w:val="000000"/>
          <w:sz w:val="22"/>
        </w:rPr>
        <w:t>ER</w:t>
      </w:r>
      <w:r>
        <w:rPr>
          <w:rFonts w:ascii="Times New Roman" w:hAnsi="Times New Roman"/>
          <w:b w:val="false"/>
          <w:i w:val="false"/>
          <w:color w:val="000000"/>
          <w:sz w:val="11"/>
          <w:vertAlign w:val="subscript"/>
        </w:rPr>
        <w:t>c</w:t>
      </w:r>
      <w:r>
        <w:rPr>
          <w:rFonts w:ascii="Times New Roman" w:hAnsi="Times New Roman"/>
          <w:b w:val="false"/>
          <w:i w:val="false"/>
          <w:color w:val="000000"/>
          <w:sz w:val="22"/>
        </w:rPr>
        <w:t xml:space="preserve"> = Exposure rate by a child (soil: mg/day, water: l/day)</w:t>
      </w:r>
    </w:p>
    <w:p>
      <w:pPr>
        <w:spacing w:before="0" w:after="0"/>
        <w:ind w:left="120"/>
        <w:jc w:val="both"/>
      </w:pPr>
      <w:r>
        <w:rPr>
          <w:rFonts w:ascii="Times New Roman" w:hAnsi="Times New Roman"/>
          <w:b w:val="false"/>
          <w:i w:val="false"/>
          <w:color w:val="000000"/>
          <w:sz w:val="22"/>
        </w:rPr>
        <w:t>EF</w:t>
      </w:r>
      <w:r>
        <w:rPr>
          <w:rFonts w:ascii="Times New Roman" w:hAnsi="Times New Roman"/>
          <w:b w:val="false"/>
          <w:i w:val="false"/>
          <w:color w:val="000000"/>
          <w:sz w:val="11"/>
          <w:vertAlign w:val="subscript"/>
        </w:rPr>
        <w:t>c</w:t>
      </w:r>
      <w:r>
        <w:rPr>
          <w:rFonts w:ascii="Times New Roman" w:hAnsi="Times New Roman"/>
          <w:b w:val="false"/>
          <w:i w:val="false"/>
          <w:color w:val="000000"/>
          <w:sz w:val="22"/>
        </w:rPr>
        <w:t xml:space="preserve"> = Exposure frequency by a child (days/year)</w:t>
      </w:r>
    </w:p>
    <w:p>
      <w:pPr>
        <w:spacing w:before="0" w:after="0"/>
        <w:ind w:left="120"/>
        <w:jc w:val="both"/>
      </w:pPr>
      <w:r>
        <w:rPr>
          <w:rFonts w:ascii="Times New Roman" w:hAnsi="Times New Roman"/>
          <w:b w:val="false"/>
          <w:i w:val="false"/>
          <w:color w:val="000000"/>
          <w:sz w:val="22"/>
        </w:rPr>
        <w:t>ED</w:t>
      </w:r>
      <w:r>
        <w:rPr>
          <w:rFonts w:ascii="Times New Roman" w:hAnsi="Times New Roman"/>
          <w:b w:val="false"/>
          <w:i w:val="false"/>
          <w:color w:val="000000"/>
          <w:sz w:val="11"/>
          <w:vertAlign w:val="subscript"/>
        </w:rPr>
        <w:t>c</w:t>
      </w:r>
      <w:r>
        <w:rPr>
          <w:rFonts w:ascii="Times New Roman" w:hAnsi="Times New Roman"/>
          <w:b w:val="false"/>
          <w:i w:val="false"/>
          <w:color w:val="000000"/>
          <w:sz w:val="22"/>
        </w:rPr>
        <w:t xml:space="preserve"> = Exposure duration by a child (years)</w:t>
      </w:r>
    </w:p>
    <w:p>
      <w:pPr>
        <w:spacing w:before="0" w:after="0"/>
        <w:ind w:left="120"/>
        <w:jc w:val="both"/>
      </w:pPr>
      <w:r>
        <w:rPr>
          <w:rFonts w:ascii="Times New Roman" w:hAnsi="Times New Roman"/>
          <w:b w:val="false"/>
          <w:i w:val="false"/>
          <w:color w:val="000000"/>
          <w:sz w:val="22"/>
        </w:rPr>
        <w:t>BW</w:t>
      </w:r>
      <w:r>
        <w:rPr>
          <w:rFonts w:ascii="Times New Roman" w:hAnsi="Times New Roman"/>
          <w:b w:val="false"/>
          <w:i w:val="false"/>
          <w:color w:val="000000"/>
          <w:sz w:val="11"/>
          <w:vertAlign w:val="subscript"/>
        </w:rPr>
        <w:t>c</w:t>
      </w:r>
      <w:r>
        <w:rPr>
          <w:rFonts w:ascii="Times New Roman" w:hAnsi="Times New Roman"/>
          <w:b w:val="false"/>
          <w:i w:val="false"/>
          <w:color w:val="000000"/>
          <w:sz w:val="22"/>
        </w:rPr>
        <w:t xml:space="preserve"> = Body weight of exposed child (kg)</w:t>
      </w:r>
    </w:p>
    <w:p>
      <w:pPr>
        <w:spacing w:before="0" w:after="0"/>
        <w:ind w:left="120"/>
        <w:jc w:val="both"/>
      </w:pPr>
      <w:r>
        <w:rPr>
          <w:rFonts w:ascii="Times New Roman" w:hAnsi="Times New Roman"/>
          <w:b w:val="false"/>
          <w:i w:val="false"/>
          <w:color w:val="000000"/>
          <w:sz w:val="22"/>
        </w:rPr>
        <w:t>ER</w:t>
      </w:r>
      <w:r>
        <w:rPr>
          <w:rFonts w:ascii="Times New Roman" w:hAnsi="Times New Roman"/>
          <w:b w:val="false"/>
          <w:i w:val="false"/>
          <w:color w:val="000000"/>
          <w:sz w:val="11"/>
          <w:vertAlign w:val="subscript"/>
        </w:rPr>
        <w:t xml:space="preserve">a </w:t>
      </w:r>
      <w:r>
        <w:rPr>
          <w:rFonts w:ascii="Times New Roman" w:hAnsi="Times New Roman"/>
          <w:b w:val="false"/>
          <w:i w:val="false"/>
          <w:color w:val="000000"/>
          <w:sz w:val="22"/>
        </w:rPr>
        <w:t>= Exposure rate by an adult (soil: mg/day, water: l/day)</w:t>
      </w:r>
    </w:p>
    <w:p>
      <w:pPr>
        <w:spacing w:before="0" w:after="0"/>
        <w:ind w:left="120"/>
        <w:jc w:val="both"/>
      </w:pPr>
      <w:r>
        <w:rPr>
          <w:rFonts w:ascii="Times New Roman" w:hAnsi="Times New Roman"/>
          <w:b w:val="false"/>
          <w:i w:val="false"/>
          <w:color w:val="000000"/>
          <w:sz w:val="22"/>
        </w:rPr>
        <w:t>EF</w:t>
      </w:r>
      <w:r>
        <w:rPr>
          <w:rFonts w:ascii="Times New Roman" w:hAnsi="Times New Roman"/>
          <w:b w:val="false"/>
          <w:i w:val="false"/>
          <w:color w:val="000000"/>
          <w:sz w:val="11"/>
          <w:vertAlign w:val="subscript"/>
        </w:rPr>
        <w:t>a</w:t>
      </w:r>
      <w:r>
        <w:rPr>
          <w:rFonts w:ascii="Times New Roman" w:hAnsi="Times New Roman"/>
          <w:b w:val="false"/>
          <w:i w:val="false"/>
          <w:color w:val="000000"/>
          <w:sz w:val="22"/>
        </w:rPr>
        <w:t xml:space="preserve"> = Exposure frequency by an adult (days/year)</w:t>
      </w:r>
    </w:p>
    <w:p>
      <w:pPr>
        <w:spacing w:before="0" w:after="0"/>
        <w:ind w:left="120"/>
        <w:jc w:val="both"/>
      </w:pPr>
      <w:r>
        <w:rPr>
          <w:rFonts w:ascii="Times New Roman" w:hAnsi="Times New Roman"/>
          <w:b w:val="false"/>
          <w:i w:val="false"/>
          <w:color w:val="000000"/>
          <w:sz w:val="22"/>
        </w:rPr>
        <w:t>ED</w:t>
      </w:r>
      <w:r>
        <w:rPr>
          <w:rFonts w:ascii="Times New Roman" w:hAnsi="Times New Roman"/>
          <w:b w:val="false"/>
          <w:i w:val="false"/>
          <w:color w:val="000000"/>
          <w:sz w:val="11"/>
          <w:vertAlign w:val="subscript"/>
        </w:rPr>
        <w:t>a</w:t>
      </w:r>
      <w:r>
        <w:rPr>
          <w:rFonts w:ascii="Times New Roman" w:hAnsi="Times New Roman"/>
          <w:b w:val="false"/>
          <w:i w:val="false"/>
          <w:color w:val="000000"/>
          <w:sz w:val="22"/>
        </w:rPr>
        <w:t xml:space="preserve"> = Exposure duration by an adult (years)</w:t>
      </w:r>
    </w:p>
    <w:p>
      <w:pPr>
        <w:spacing w:before="0" w:after="0"/>
        <w:ind w:left="120"/>
        <w:jc w:val="both"/>
      </w:pPr>
      <w:r>
        <w:rPr>
          <w:rFonts w:ascii="Times New Roman" w:hAnsi="Times New Roman"/>
          <w:b w:val="false"/>
          <w:i w:val="false"/>
          <w:color w:val="000000"/>
          <w:sz w:val="22"/>
        </w:rPr>
        <w:t>BW</w:t>
      </w:r>
      <w:r>
        <w:rPr>
          <w:rFonts w:ascii="Times New Roman" w:hAnsi="Times New Roman"/>
          <w:b w:val="false"/>
          <w:i w:val="false"/>
          <w:color w:val="000000"/>
          <w:sz w:val="11"/>
          <w:vertAlign w:val="subscript"/>
        </w:rPr>
        <w:t>a</w:t>
      </w:r>
      <w:r>
        <w:rPr>
          <w:rFonts w:ascii="Times New Roman" w:hAnsi="Times New Roman"/>
          <w:b w:val="false"/>
          <w:i w:val="false"/>
          <w:color w:val="000000"/>
          <w:sz w:val="22"/>
        </w:rPr>
        <w:t xml:space="preserve"> = Body weight of exposed adult (kg)</w:t>
      </w:r>
    </w:p>
    <w:p>
      <w:pPr>
        <w:spacing w:before="0" w:after="0"/>
        <w:ind w:left="120"/>
        <w:jc w:val="both"/>
      </w:pPr>
      <w:r>
        <w:rPr>
          <w:rFonts w:ascii="Times New Roman" w:hAnsi="Times New Roman"/>
          <w:b w:val="false"/>
          <w:i w:val="false"/>
          <w:color w:val="000000"/>
          <w:sz w:val="22"/>
        </w:rPr>
        <w:t>CF = Conversion factor: 10</w:t>
      </w:r>
      <w:r>
        <w:rPr>
          <w:rFonts w:ascii="Times New Roman" w:hAnsi="Times New Roman"/>
          <w:b w:val="false"/>
          <w:i w:val="false"/>
          <w:color w:val="000000"/>
          <w:sz w:val="11"/>
          <w:vertAlign w:val="superscript"/>
        </w:rPr>
        <w:t>-6</w:t>
      </w:r>
      <w:r>
        <w:rPr>
          <w:rFonts w:ascii="Times New Roman" w:hAnsi="Times New Roman"/>
          <w:b w:val="false"/>
          <w:i w:val="false"/>
          <w:color w:val="000000"/>
          <w:sz w:val="22"/>
        </w:rPr>
        <w:t xml:space="preserve"> kg/mg for soils; 1 (unitless) for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Carcinogenic classification of chemicals. </w:t>
      </w:r>
      <w:r>
        <w:rPr>
          <w:rFonts w:ascii="Times New Roman" w:hAnsi="Times New Roman"/>
          <w:b w:val="false"/>
          <w:i w:val="false"/>
          <w:color w:val="000000"/>
          <w:sz w:val="22"/>
        </w:rPr>
        <w:t xml:space="preserve">The potential carcinogenicity of chemicals will be based on the weight-of-evidence classification system utilized by the EPA. Risk-based concentrations will be based on cancer health effects for individual chemicals that are classified as Group A or Group B. The risk-based concentration for an individual chemical will be based on noncancer health effects for chemicals that are classified as Group C, Group D or Group E. In the absence of such classification for a chemical, the Group D classification will be assumed. Noncancer risks for a Group A or Group B chemical will be included in the determination of cumulative noncancer risk in accordance with </w:t>
      </w:r>
      <w:hyperlink r:id="rId8">
        <w:r>
          <w:rPr>
            <w:rStyle w:val="Hyperlink"/>
            <w:rFonts w:ascii="Times New Roman" w:hAnsi="Times New Roman"/>
            <w:b w:val="false"/>
            <w:i w:val="false"/>
            <w:color w:val="000000"/>
            <w:sz w:val="22"/>
          </w:rPr>
          <w:t>105.210(7)</w:t>
        </w:r>
      </w:hyperlink>
      <w:r>
        <w:rPr>
          <w:rFonts w:ascii="Times New Roman" w:hAnsi="Times New Roman"/>
          <w:b w:val="false"/>
          <w:i w:val="false"/>
          <w:color w:val="000000"/>
          <w:sz w:val="22"/>
        </w:rPr>
        <w:t xml:space="preserve">, if a reference dose exists for that chemical. Cancer risk associated with a Group C chemical shall be included in the determination of cumulative cancer risk in accordance with </w:t>
      </w:r>
      <w:hyperlink r:id="rId9">
        <w:r>
          <w:rPr>
            <w:rStyle w:val="Hyperlink"/>
            <w:rFonts w:ascii="Times New Roman" w:hAnsi="Times New Roman"/>
            <w:b w:val="false"/>
            <w:i w:val="false"/>
            <w:color w:val="000000"/>
            <w:sz w:val="22"/>
          </w:rPr>
          <w:t>105.210(7)</w:t>
        </w:r>
      </w:hyperlink>
      <w:r>
        <w:rPr>
          <w:rFonts w:ascii="Times New Roman" w:hAnsi="Times New Roman"/>
          <w:b w:val="false"/>
          <w:i w:val="false"/>
          <w:color w:val="000000"/>
          <w:sz w:val="22"/>
        </w:rPr>
        <w:t>, if a cancer slope factor exists for that chemical.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Source of toxicity values. </w:t>
      </w:r>
      <w:r>
        <w:rPr>
          <w:rFonts w:ascii="Times New Roman" w:hAnsi="Times New Roman"/>
          <w:b w:val="false"/>
          <w:i w:val="false"/>
          <w:color w:val="000000"/>
          <w:sz w:val="22"/>
        </w:rPr>
        <w:t>EPA’s Integrated Risk Information System (IRIS) shall be the primary source of information on toxicity factors (e.g., oral reference doses and oral slope factors), carcinogenic classification for chemicals, and the target organs. Such information that is not available on IRIS shall be obtained from other sources consistent with current EPA guidelines. The Iowa department of health and human services (HHS) shall be consulted regarding toxicity values not available on IRIS. Absorption factors for dermal soil exposure shall be based on best available information, which will usually be obtained from EPA guidance documents.</w:t>
      </w:r>
    </w:p>
    <w:p>
      <w:pPr>
        <w:spacing w:before="0" w:after="0"/>
        <w:ind w:left="120"/>
        <w:jc w:val="both"/>
      </w:pPr>
      <w:r>
        <w:rPr>
          <w:rFonts w:ascii="Times New Roman" w:hAnsi="Times New Roman"/>
          <w:b/>
          <w:i w:val="false"/>
          <w:color w:val="000000"/>
          <w:sz w:val="22"/>
        </w:rPr>
        <w:t>105.205(4)</w:t>
      </w:r>
      <w:r>
        <w:rPr>
          <w:rFonts w:ascii="Times New Roman" w:hAnsi="Times New Roman"/>
          <w:b w:val="false"/>
          <w:i w:val="false"/>
          <w:color w:val="000000"/>
          <w:sz w:val="22"/>
        </w:rPr>
        <w:t> </w:t>
      </w:r>
      <w:r>
        <w:rPr>
          <w:rFonts w:ascii="Times New Roman" w:hAnsi="Times New Roman"/>
          <w:b w:val="false"/>
          <w:i/>
          <w:color w:val="000000"/>
          <w:sz w:val="22"/>
        </w:rPr>
        <w:t xml:space="preserve">Statewide standards for groundwater.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Protected groundwater source. </w:t>
      </w:r>
      <w:r>
        <w:rPr>
          <w:rFonts w:ascii="Times New Roman" w:hAnsi="Times New Roman"/>
          <w:b w:val="false"/>
          <w:i w:val="false"/>
          <w:color w:val="000000"/>
          <w:sz w:val="22"/>
        </w:rPr>
        <w:t>Statewide standards for groundwater in a protected groundwater source will be the enforceable MCL established by the EPA pursuant to the Safe Drinking Water Act as amended in 1996, if an MCL exists. If no enforceable MCL exists, the statewide standard for chemicals will be the HAL as provided in the Drinking Water Regulations and Health Advisories by the EPA’s Office of Water. Interim or provisional HALs can also be used. If no MCL or HAL exists, the statewide standard for a chemical will be calculated using Formula I and input variables for groundwater ingestion in accordance with Table I.</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Groundwater in a nonprotected groundwater source. </w:t>
      </w:r>
      <w:r>
        <w:rPr>
          <w:rFonts w:ascii="Times New Roman" w:hAnsi="Times New Roman"/>
          <w:b w:val="false"/>
          <w:i w:val="false"/>
          <w:color w:val="000000"/>
          <w:sz w:val="22"/>
        </w:rPr>
        <w:t>The statewide standard for a chemical in groundwater in a nonprotected groundwater source will be five times the statewide standard for the chemical in a protected groundwater source or a risk-based concentration using Formula I with input variables specified in Table I, whichever is larger. The statewide standards for groundwater in a nonprotected groundwater source are based on groundwater ingestion only.</w:t>
      </w:r>
    </w:p>
    <w:p>
      <w:pPr>
        <w:spacing w:before="60" w:after="0"/>
        <w:ind w:left="120"/>
        <w:jc w:val="center"/>
      </w:pPr>
      <w:r>
        <w:rPr>
          <w:rFonts w:ascii="Times New Roman" w:hAnsi="Times New Roman"/>
          <w:b w:val="false"/>
          <w:i w:val="false"/>
          <w:color w:val="000000"/>
          <w:sz w:val="22"/>
        </w:rPr>
        <w:t>Table I</w:t>
      </w:r>
    </w:p>
    <w:p>
      <w:pPr>
        <w:spacing w:before="60" w:after="0"/>
        <w:ind w:left="120"/>
        <w:jc w:val="center"/>
      </w:pPr>
      <w:r>
        <w:rPr>
          <w:rFonts w:ascii="Times New Roman" w:hAnsi="Times New Roman"/>
          <w:b w:val="false"/>
          <w:i w:val="false"/>
          <w:color w:val="000000"/>
          <w:sz w:val="22"/>
        </w:rPr>
        <w:t>Input Variables for Risk-Based Statewide Standards for Groundwater</w:t>
      </w:r>
    </w:p>
    <w:p>
      <w:pPr>
        <w:spacing w:before="60" w:after="0"/>
        <w:ind w:left="120"/>
        <w:jc w:val="center"/>
      </w:pPr>
      <w:r>
        <w:rPr>
          <w:rFonts w:ascii="Times New Roman" w:hAnsi="Times New Roman"/>
          <w:b w:val="false"/>
          <w:i w:val="false"/>
          <w:color w:val="000000"/>
          <w:sz w:val="22"/>
        </w:rPr>
        <w:t>from Protected and Nonprotected Groundwater Sources</w:t>
      </w:r>
    </w:p>
    <w:tbl>
      <w:tblPr>
        <w:tblW w:w="0" w:type="auto"/>
        <w:tblCellSpacing w:w="0" w:type="auto"/>
        <w:tblBorders>
          <w:top w:val="none"/>
          <w:left w:val="none"/>
          <w:bottom w:val="none"/>
          <w:right w:val="none"/>
          <w:insideH w:val="none"/>
          <w:insideV w:val="none"/>
        </w:tblBorders>
        <w:tblLayout w:type="fixed"/>
      </w:tblPr>
      <w:tblGrid>
        <w:gridCol w:w="1920"/>
        <w:gridCol w:w="1920"/>
        <w:gridCol w:w="1920"/>
        <w:gridCol w:w="1920"/>
        <w:gridCol w:w="1920"/>
      </w:tblGrid>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Parameter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Units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Cancer Group</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Protected</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Nonprotected</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 10</w:t>
            </w:r>
            <w:r>
              <w:rPr>
                <w:rFonts w:ascii="Times New Roman" w:hAnsi="Times New Roman"/>
                <w:b w:val="false"/>
                <w:i w:val="false"/>
                <w:color w:val="000000"/>
                <w:sz w:val="14"/>
                <w:vertAlign w:val="superscript"/>
              </w:rPr>
              <w:t>-6</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 10</w:t>
            </w:r>
            <w:r>
              <w:rPr>
                <w:rFonts w:ascii="Times New Roman" w:hAnsi="Times New Roman"/>
                <w:b w:val="false"/>
                <w:i w:val="false"/>
                <w:color w:val="000000"/>
                <w:sz w:val="14"/>
                <w:vertAlign w:val="superscript"/>
              </w:rPr>
              <w:t>-4</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r>
              <w:rPr>
                <w:rFonts w:ascii="Times New Roman" w:hAnsi="Times New Roman"/>
                <w:b w:val="false"/>
                <w:i w:val="false"/>
                <w:color w:val="000000"/>
                <w:sz w:val="14"/>
                <w:vertAlign w:val="superscript"/>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 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THQ</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0.02</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365</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365</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CF</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bl>
    <w:p>
      <w:pPr>
        <w:spacing w:before="0" w:after="0"/>
        <w:ind w:left="120"/>
        <w:jc w:val="both"/>
      </w:pPr>
      <w:r>
        <w:rPr>
          <w:rFonts w:ascii="Times New Roman" w:hAnsi="Times New Roman"/>
          <w:b w:val="false"/>
          <w:i w:val="false"/>
          <w:color w:val="000000"/>
          <w:sz w:val="22"/>
        </w:rPr>
        <w:t xml:space="preserve">*The risk-based concentration using Formula I for Cancer Group C chemicals that have an SF value established per </w:t>
      </w:r>
      <w:hyperlink r:id="rId10">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the larger of a value based on the risk factor for protection from noncancer health risks with a THQ = 0.1 or the risk factor for protection from cancer health risks. Risk-based concentrations using Formula I for Cancer Group C chemicals that do not have an SF value established per </w:t>
      </w:r>
      <w:hyperlink r:id="rId11">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 value based on the risk factor for protection from noncancer health risks with a THQ = 1.</w:t>
      </w:r>
    </w:p>
    <w:p>
      <w:pPr>
        <w:spacing w:before="0" w:after="0"/>
        <w:ind w:left="120"/>
        <w:jc w:val="both"/>
      </w:pPr>
      <w:r>
        <w:rPr>
          <w:rFonts w:ascii="Times New Roman" w:hAnsi="Times New Roman"/>
          <w:b/>
          <w:i w:val="false"/>
          <w:color w:val="000000"/>
          <w:sz w:val="22"/>
        </w:rPr>
        <w:t>105.205(5)</w:t>
      </w:r>
      <w:r>
        <w:rPr>
          <w:rFonts w:ascii="Times New Roman" w:hAnsi="Times New Roman"/>
          <w:b w:val="false"/>
          <w:i w:val="false"/>
          <w:color w:val="000000"/>
          <w:sz w:val="22"/>
        </w:rPr>
        <w:t> </w:t>
      </w:r>
      <w:r>
        <w:rPr>
          <w:rFonts w:ascii="Times New Roman" w:hAnsi="Times New Roman"/>
          <w:b w:val="false"/>
          <w:i/>
          <w:color w:val="000000"/>
          <w:sz w:val="22"/>
        </w:rPr>
        <w:t xml:space="preserve">Statewide standards for soil. </w:t>
      </w:r>
      <w:r>
        <w:rPr>
          <w:rFonts w:ascii="Times New Roman" w:hAnsi="Times New Roman"/>
          <w:b w:val="false"/>
          <w:i w:val="false"/>
          <w:color w:val="000000"/>
          <w:sz w:val="22"/>
        </w:rPr>
        <w:t>Statewide standards for chemicals in soil, except lead, will be calculated using Formula I based on incidental ingestion of soil and dust and dermal contact with soil with input variables in accordance with Table II. The statewide standard for lead in soil shall be 400 mg/kg.</w:t>
      </w:r>
    </w:p>
    <w:p>
      <w:pPr>
        <w:spacing w:before="60" w:after="0"/>
        <w:ind w:left="120"/>
        <w:jc w:val="center"/>
      </w:pPr>
      <w:r>
        <w:rPr>
          <w:rFonts w:ascii="Times New Roman" w:hAnsi="Times New Roman"/>
          <w:b w:val="false"/>
          <w:i w:val="false"/>
          <w:color w:val="000000"/>
          <w:sz w:val="22"/>
        </w:rPr>
        <w:t>Table II</w:t>
      </w:r>
    </w:p>
    <w:p>
      <w:pPr>
        <w:spacing w:before="60" w:after="0"/>
        <w:ind w:left="120"/>
        <w:jc w:val="center"/>
      </w:pPr>
      <w:r>
        <w:rPr>
          <w:rFonts w:ascii="Times New Roman" w:hAnsi="Times New Roman"/>
          <w:b w:val="false"/>
          <w:i w:val="false"/>
          <w:color w:val="000000"/>
          <w:sz w:val="22"/>
        </w:rPr>
        <w:t>Input Variables for Statewide Soil Standards</w:t>
      </w:r>
    </w:p>
    <w:tbl>
      <w:tblPr>
        <w:tblW w:w="0" w:type="auto"/>
        <w:tblCellSpacing w:w="0" w:type="auto"/>
        <w:tblBorders>
          <w:top w:val="none"/>
          <w:left w:val="none"/>
          <w:bottom w:val="none"/>
          <w:right w:val="none"/>
          <w:insideH w:val="none"/>
          <w:insideV w:val="none"/>
        </w:tblBorders>
        <w:tblLayout w:type="fixed"/>
      </w:tblPr>
      <w:tblGrid>
        <w:gridCol w:w="2112"/>
        <w:gridCol w:w="2112"/>
        <w:gridCol w:w="2112"/>
        <w:gridCol w:w="1632"/>
        <w:gridCol w:w="1632"/>
      </w:tblGrid>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Route of Exposure</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Parameter</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Units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Cancer Group</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Oral</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Dermal</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 10</w:t>
            </w:r>
            <w:r>
              <w:rPr>
                <w:rFonts w:ascii="Times New Roman" w:hAnsi="Times New Roman"/>
                <w:b w:val="false"/>
                <w:i w:val="false"/>
                <w:color w:val="000000"/>
                <w:sz w:val="14"/>
                <w:vertAlign w:val="superscript"/>
              </w:rPr>
              <w:t>-6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 10</w:t>
            </w:r>
            <w:r>
              <w:rPr>
                <w:rFonts w:ascii="Times New Roman" w:hAnsi="Times New Roman"/>
                <w:b w:val="false"/>
                <w:i w:val="false"/>
                <w:color w:val="000000"/>
                <w:sz w:val="14"/>
                <w:vertAlign w:val="superscript"/>
              </w:rPr>
              <w:t>-6</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r>
              <w:rPr>
                <w:rFonts w:ascii="Times New Roman" w:hAnsi="Times New Roman"/>
                <w:b w:val="false"/>
                <w:i w:val="false"/>
                <w:color w:val="000000"/>
                <w:sz w:val="14"/>
                <w:vertAlign w:val="superscript"/>
              </w:rPr>
              <w:t>-1</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 C*</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THQ</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c</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560**</w:t>
            </w:r>
          </w:p>
        </w:tc>
      </w:tr>
      <w:tr>
        <w:trPr>
          <w:trHeight w:val="33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c</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c</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c</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a</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a</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a</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a</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CF</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kg/mg</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r>
              <w:rPr>
                <w:rFonts w:ascii="Times New Roman" w:hAnsi="Times New Roman"/>
                <w:b w:val="false"/>
                <w:i w:val="false"/>
                <w:color w:val="000000"/>
                <w:sz w:val="14"/>
                <w:vertAlign w:val="superscript"/>
              </w:rPr>
              <w:t>-6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r>
              <w:rPr>
                <w:rFonts w:ascii="Times New Roman" w:hAnsi="Times New Roman"/>
                <w:b w:val="false"/>
                <w:i w:val="false"/>
                <w:color w:val="000000"/>
                <w:sz w:val="14"/>
                <w:vertAlign w:val="superscript"/>
              </w:rPr>
              <w:t>-6</w:t>
            </w:r>
          </w:p>
        </w:tc>
      </w:tr>
    </w:tbl>
    <w:p>
      <w:pPr>
        <w:spacing w:before="0" w:after="0"/>
        <w:ind w:left="120"/>
        <w:jc w:val="both"/>
      </w:pPr>
      <w:r>
        <w:rPr>
          <w:rFonts w:ascii="Times New Roman" w:hAnsi="Times New Roman"/>
          <w:b w:val="false"/>
          <w:i w:val="false"/>
          <w:color w:val="000000"/>
          <w:sz w:val="22"/>
        </w:rPr>
        <w:t xml:space="preserve">*The risk-based concentration using Formula I for Cancer Group C chemicals that have an SF value established per </w:t>
      </w:r>
      <w:hyperlink r:id="rId12">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the larger of a value based on the risk factor for protection from noncancer health risks with a THQ = 0.1 or the risk factor for protection from cancer health risks. Risk-based concentrations using Formula I for Cancer Group C chemicals that do not have an SF value established per </w:t>
      </w:r>
      <w:hyperlink r:id="rId13">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 value based on the risk factor for protection from noncancer health risks with a THQ = 1.</w:t>
      </w:r>
    </w:p>
    <w:p>
      <w:pPr>
        <w:spacing w:before="0" w:after="0"/>
        <w:ind w:left="120"/>
        <w:jc w:val="both"/>
      </w:pPr>
      <w:r>
        <w:rPr>
          <w:rFonts w:ascii="Times New Roman" w:hAnsi="Times New Roman"/>
          <w:b w:val="false"/>
          <w:i w:val="false"/>
          <w:color w:val="000000"/>
          <w:sz w:val="22"/>
        </w:rPr>
        <w:t>**Dermal exposure rate is based on 2,800 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exposed skin on a child with 0.2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soil adhering to the child’s skin and 5,700 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exposed skin on an adult with 0.07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soil adhering to the adult’s skin per each dermal exposure event. A dermal exposure event is assumed to be one event per day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105.205(6)</w:t>
      </w:r>
      <w:r>
        <w:rPr>
          <w:rFonts w:ascii="Times New Roman" w:hAnsi="Times New Roman"/>
          <w:b w:val="false"/>
          <w:i w:val="false"/>
          <w:color w:val="000000"/>
          <w:sz w:val="22"/>
        </w:rPr>
        <w:t> </w:t>
      </w:r>
      <w:r>
        <w:rPr>
          <w:rFonts w:ascii="Times New Roman" w:hAnsi="Times New Roman"/>
          <w:b w:val="false"/>
          <w:i/>
          <w:color w:val="000000"/>
          <w:sz w:val="22"/>
        </w:rPr>
        <w:t xml:space="preserve">Statewide standards for surface water. </w:t>
      </w:r>
      <w:r>
        <w:rPr>
          <w:rFonts w:ascii="Times New Roman" w:hAnsi="Times New Roman"/>
          <w:b w:val="false"/>
          <w:i w:val="false"/>
          <w:color w:val="000000"/>
          <w:sz w:val="22"/>
        </w:rPr>
        <w:t xml:space="preserve">Water quality standards pursuant to </w:t>
      </w:r>
      <w:hyperlink r:id="rId14">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shall be considered statewide standards for surface water. If a promulgated water quality standard does not exist for a contaminant of concern, the department may establish an appropriate standard in a manner consistent with </w:t>
      </w:r>
      <w:hyperlink r:id="rId15">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105.205(7)</w:t>
      </w:r>
      <w:r>
        <w:rPr>
          <w:rFonts w:ascii="Times New Roman" w:hAnsi="Times New Roman"/>
          <w:b w:val="false"/>
          <w:i w:val="false"/>
          <w:color w:val="000000"/>
          <w:sz w:val="22"/>
        </w:rPr>
        <w:t> </w:t>
      </w:r>
      <w:r>
        <w:rPr>
          <w:rFonts w:ascii="Times New Roman" w:hAnsi="Times New Roman"/>
          <w:b w:val="false"/>
          <w:i/>
          <w:color w:val="000000"/>
          <w:sz w:val="22"/>
        </w:rPr>
        <w:t xml:space="preserve">Statewide standards for air. </w:t>
      </w:r>
      <w:r>
        <w:rPr>
          <w:rFonts w:ascii="Times New Roman" w:hAnsi="Times New Roman"/>
          <w:b w:val="false"/>
          <w:i w:val="false"/>
          <w:color w:val="000000"/>
          <w:sz w:val="22"/>
        </w:rPr>
        <w:t xml:space="preserve">Ambient air quality standards pursuant to </w:t>
      </w:r>
      <w:hyperlink r:id="rId16">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constitute statewide standards for air. Air emission sources must meet air quality emission standards as set forth in </w:t>
      </w:r>
      <w:hyperlink r:id="rId17">
        <w:r>
          <w:rPr>
            <w:rStyle w:val="Hyperlink"/>
            <w:rFonts w:ascii="Times New Roman" w:hAnsi="Times New Roman"/>
            <w:b w:val="false"/>
            <w:i w:val="false"/>
            <w:color w:val="000000"/>
            <w:sz w:val="22"/>
          </w:rPr>
          <w:t>567—Chapters 21</w:t>
        </w:r>
      </w:hyperlink>
      <w:r>
        <w:rPr>
          <w:rFonts w:ascii="Times New Roman" w:hAnsi="Times New Roman"/>
          <w:b w:val="false"/>
          <w:i w:val="false"/>
          <w:color w:val="000000"/>
          <w:sz w:val="22"/>
        </w:rPr>
        <w:t xml:space="preserve"> through </w:t>
      </w:r>
      <w:hyperlink r:id="rId18">
        <w:r>
          <w:rPr>
            <w:rStyle w:val="Hyperlink"/>
            <w:rFonts w:ascii="Times New Roman" w:hAnsi="Times New Roman"/>
            <w:b w:val="false"/>
            <w:i w:val="false"/>
            <w:color w:val="000000"/>
            <w:sz w:val="22"/>
          </w:rPr>
          <w:t>33</w:t>
        </w:r>
      </w:hyperlink>
      <w:r>
        <w:rPr>
          <w:rFonts w:ascii="Times New Roman" w:hAnsi="Times New Roman"/>
          <w:b w:val="false"/>
          <w:i w:val="false"/>
          <w:color w:val="000000"/>
          <w:sz w:val="22"/>
        </w:rPr>
        <w:t xml:space="preserve"> inclusively, as applicable. Any relevant air quality standard that is subsequently promulgated by statute or rule shall become a statewide standard for air upon the effective date of adoption by the state. In the absence of applicable, adopted standards, site-specific air standards must be met, in accordance with </w:t>
      </w:r>
      <w:hyperlink r:id="rId19">
        <w:r>
          <w:rPr>
            <w:rStyle w:val="Hyperlink"/>
            <w:rFonts w:ascii="Times New Roman" w:hAnsi="Times New Roman"/>
            <w:b w:val="false"/>
            <w:i w:val="false"/>
            <w:color w:val="000000"/>
            <w:sz w:val="22"/>
          </w:rPr>
          <w:t>105.206(9)</w:t>
        </w:r>
      </w:hyperlink>
      <w:r>
        <w:rPr>
          <w:rFonts w:ascii="Times New Roman" w:hAnsi="Times New Roman"/>
          <w:b w:val="false"/>
          <w:i w:val="false"/>
          <w:color w:val="000000"/>
          <w:sz w:val="22"/>
        </w:rPr>
        <w:t>, when air quality issues are addressed at a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105.205(8)</w:t>
      </w:r>
      <w:r>
        <w:rPr>
          <w:rFonts w:ascii="Times New Roman" w:hAnsi="Times New Roman"/>
          <w:b w:val="false"/>
          <w:i w:val="false"/>
          <w:color w:val="000000"/>
          <w:sz w:val="22"/>
        </w:rPr>
        <w:t> </w:t>
      </w:r>
      <w:r>
        <w:rPr>
          <w:rFonts w:ascii="Times New Roman" w:hAnsi="Times New Roman"/>
          <w:b w:val="false"/>
          <w:i/>
          <w:color w:val="000000"/>
          <w:sz w:val="22"/>
        </w:rPr>
        <w:t xml:space="preserve">Point of exposure for statewide standards. </w:t>
      </w:r>
      <w:r>
        <w:rPr>
          <w:rFonts w:ascii="Times New Roman" w:hAnsi="Times New Roman"/>
          <w:b w:val="false"/>
          <w:i w:val="false"/>
          <w:color w:val="000000"/>
          <w:sz w:val="22"/>
        </w:rPr>
        <w:t>The point of exposure associated with the use of only statewide standards in the determination of compliance will be assumed to be anywhere and everywhere, except for surface water. The point of exposure associated with the use of statewide standards for surface water will be assumed to be the point of groundwater or other site runoff immediately before it discharges to the surface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105.205(9)</w:t>
      </w:r>
      <w:r>
        <w:rPr>
          <w:rFonts w:ascii="Times New Roman" w:hAnsi="Times New Roman"/>
          <w:b w:val="false"/>
          <w:i w:val="false"/>
          <w:color w:val="000000"/>
          <w:sz w:val="22"/>
        </w:rPr>
        <w:t> </w:t>
      </w:r>
      <w:r>
        <w:rPr>
          <w:rFonts w:ascii="Times New Roman" w:hAnsi="Times New Roman"/>
          <w:b w:val="false"/>
          <w:i/>
          <w:color w:val="000000"/>
          <w:sz w:val="22"/>
        </w:rPr>
        <w:t xml:space="preserve">Practical quantification limits. </w:t>
      </w:r>
      <w:r>
        <w:rPr>
          <w:rFonts w:ascii="Times New Roman" w:hAnsi="Times New Roman"/>
          <w:b w:val="false"/>
          <w:i w:val="false"/>
          <w:color w:val="000000"/>
          <w:sz w:val="22"/>
        </w:rPr>
        <w:t>In no case will the statewide standard be less than the practical quantification limit,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105.205(10)</w:t>
      </w:r>
      <w:r>
        <w:rPr>
          <w:rFonts w:ascii="Times New Roman" w:hAnsi="Times New Roman"/>
          <w:b w:val="false"/>
          <w:i w:val="false"/>
          <w:color w:val="000000"/>
          <w:sz w:val="22"/>
        </w:rPr>
        <w:t> </w:t>
      </w:r>
      <w:r>
        <w:rPr>
          <w:rFonts w:ascii="Times New Roman" w:hAnsi="Times New Roman"/>
          <w:b w:val="false"/>
          <w:i/>
          <w:color w:val="000000"/>
          <w:sz w:val="22"/>
        </w:rPr>
        <w:t xml:space="preserve">Maintenance of statewide standards. </w:t>
      </w:r>
      <w:r>
        <w:rPr>
          <w:rFonts w:ascii="Times New Roman" w:hAnsi="Times New Roman"/>
          <w:b w:val="false"/>
          <w:i w:val="false"/>
          <w:color w:val="000000"/>
          <w:sz w:val="22"/>
        </w:rPr>
        <w:t xml:space="preserve">The toxicity values, absorption factors for dermal exposure to soils, and promulgated standards that are a basis for statewide standards are subject to periodic revision due to actions not governed under this rule. The department in conjunction with the HHS will maintain a current list of toxicity values, absorption factors for dermal exposure to soils, target organs for cumulative noncarcinogenic health risks, promulgated standards, and the resultant statewide standards that will be readily available to the public. This guidance document will reference all the sources of the information. In the absence of a dermal slope factor or a dermal reference dose for a chemical, the oral slope factor or oral reference dose will be used with adjustments made to account for differences in oral and dermal absorption rates in accordance with current EPA guidance. Statewide standards for individual sites will be locked in at the beginning of the site assessment process pursuant to </w:t>
      </w:r>
      <w:hyperlink r:id="rId20">
        <w:r>
          <w:rPr>
            <w:rStyle w:val="Hyperlink"/>
            <w:rFonts w:ascii="Times New Roman" w:hAnsi="Times New Roman"/>
            <w:b w:val="false"/>
            <w:i w:val="false"/>
            <w:color w:val="000000"/>
            <w:sz w:val="22"/>
          </w:rPr>
          <w:t>567—105.208</w:t>
        </w:r>
      </w:hyperlink>
      <w:r>
        <w:rPr>
          <w:rFonts w:ascii="Times New Roman" w:hAnsi="Times New Roman"/>
          <w:b w:val="false"/>
          <w:i w:val="false"/>
          <w:color w:val="000000"/>
          <w:sz w:val="22"/>
        </w:rPr>
        <w:t xml:space="preserve">(455H). If a statewide standard does not exist for a chemical, it will be the department’s responsibility to establish a statewide standard, pursuant to </w:t>
      </w:r>
      <w:hyperlink r:id="rId21">
        <w:r>
          <w:rPr>
            <w:rStyle w:val="Hyperlink"/>
            <w:rFonts w:ascii="Times New Roman" w:hAnsi="Times New Roman"/>
            <w:b w:val="false"/>
            <w:i w:val="false"/>
            <w:color w:val="000000"/>
            <w:sz w:val="22"/>
          </w:rPr>
          <w:t>105.205(4)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105.205(5)</w:t>
        </w:r>
      </w:hyperlink>
      <w:r>
        <w:rPr>
          <w:rFonts w:ascii="Times New Roman" w:hAnsi="Times New Roman"/>
          <w:b w:val="false"/>
          <w:i w:val="false"/>
          <w:color w:val="000000"/>
          <w:sz w:val="22"/>
        </w:rPr>
        <w:t>, for groundwater and soil, and to add the newly established statewide standard to the comprehensive list of statewide standards in the guidance document maintained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2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5.210.pdf" Type="http://schemas.openxmlformats.org/officeDocument/2006/relationships/hyperlink" Id="rId4"/>
    <Relationship TargetMode="External" Target="https://www.legis.iowa.gov/docs/iac/rule/567.105.206.pdf" Type="http://schemas.openxmlformats.org/officeDocument/2006/relationships/hyperlink" Id="rId5"/>
    <Relationship TargetMode="External" Target="https://www.legis.iowa.gov/docs/iac/rule/567.105.205.pdf" Type="http://schemas.openxmlformats.org/officeDocument/2006/relationships/hyperlink" Id="rId6"/>
    <Relationship TargetMode="External" Target="https://www.legis.iowa.gov/docs/iac/rule/567.105.205.pdf" Type="http://schemas.openxmlformats.org/officeDocument/2006/relationships/hyperlink" Id="rId7"/>
    <Relationship TargetMode="External" Target="https://www.legis.iowa.gov/docs/iac/rule/567.105.210.pdf" Type="http://schemas.openxmlformats.org/officeDocument/2006/relationships/hyperlink" Id="rId8"/>
    <Relationship TargetMode="External" Target="https://www.legis.iowa.gov/docs/iac/rule/567.105.210.pdf" Type="http://schemas.openxmlformats.org/officeDocument/2006/relationships/hyperlink" Id="rId9"/>
    <Relationship TargetMode="External" Target="https://www.legis.iowa.gov/docs/iac/rule/567.105.205.pdf" Type="http://schemas.openxmlformats.org/officeDocument/2006/relationships/hyperlink" Id="rId10"/>
    <Relationship TargetMode="External" Target="https://www.legis.iowa.gov/docs/iac/rule/567.105.205.pdf" Type="http://schemas.openxmlformats.org/officeDocument/2006/relationships/hyperlink" Id="rId11"/>
    <Relationship TargetMode="External" Target="https://www.legis.iowa.gov/docs/iac/rule/567.105.205.pdf" Type="http://schemas.openxmlformats.org/officeDocument/2006/relationships/hyperlink" Id="rId12"/>
    <Relationship TargetMode="External" Target="https://www.legis.iowa.gov/docs/iac/rule/567.105.205.pdf" Type="http://schemas.openxmlformats.org/officeDocument/2006/relationships/hyperlink" Id="rId13"/>
    <Relationship TargetMode="External" Target="https://www.legis.iowa.gov/docs/iac/chapter/567.61.pdf" Type="http://schemas.openxmlformats.org/officeDocument/2006/relationships/hyperlink" Id="rId14"/>
    <Relationship TargetMode="External" Target="https://www.legis.iowa.gov/docs/iac/chapter/567.61.pdf" Type="http://schemas.openxmlformats.org/officeDocument/2006/relationships/hyperlink" Id="rId15"/>
    <Relationship TargetMode="External" Target="https://www.legis.iowa.gov/docs/iac/chapter/567.22.pdf" Type="http://schemas.openxmlformats.org/officeDocument/2006/relationships/hyperlink" Id="rId16"/>
    <Relationship TargetMode="External" Target="https://www.legis.iowa.gov/docs/iac/chapter/567.21.pdf" Type="http://schemas.openxmlformats.org/officeDocument/2006/relationships/hyperlink" Id="rId17"/>
    <Relationship TargetMode="External" Target="https://www.legis.iowa.gov/docs/iac/chapter/567.33.pdf" Type="http://schemas.openxmlformats.org/officeDocument/2006/relationships/hyperlink" Id="rId18"/>
    <Relationship TargetMode="External" Target="https://www.legis.iowa.gov/docs/iac/rule/567.105.206.pdf" Type="http://schemas.openxmlformats.org/officeDocument/2006/relationships/hyperlink" Id="rId19"/>
    <Relationship TargetMode="External" Target="https://www.legis.iowa.gov/docs/iac/rule/567.105.208.pdf" Type="http://schemas.openxmlformats.org/officeDocument/2006/relationships/hyperlink" Id="rId20"/>
    <Relationship TargetMode="External" Target="https://www.legis.iowa.gov/docs/iac/rule/567.105.205.pdf" Type="http://schemas.openxmlformats.org/officeDocument/2006/relationships/hyperlink" Id="rId21"/>
    <Relationship TargetMode="External" Target="https://www.legis.iowa.gov/docs/iac/rule/567.105.205.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