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567—105.204</w:t>
      </w:r>
      <w:r>
        <w:rPr>
          <w:rFonts w:ascii="Times New Roman" w:hAnsi="Times New Roman"/>
          <w:b/>
          <w:i w:val="false"/>
          <w:color w:val="000000"/>
          <w:sz w:val="22"/>
        </w:rPr>
        <w:t xml:space="preserve">(455H) </w:t>
      </w:r>
      <w:r>
        <w:rPr>
          <w:rFonts w:ascii="Times New Roman" w:hAnsi="Times New Roman"/>
          <w:b/>
          <w:i w:val="false"/>
          <w:color w:val="000000"/>
          <w:sz w:val="22"/>
        </w:rPr>
        <w:t xml:space="preserve">Background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defines the basis and procedure for establishing background standards in groundwater, soil, surface water and air. Background standards represent concentrations of contaminants that are naturally occurring or generally present and not related to a readily identifiable release. Background standards provide a baseline for assessing impacts of contaminant releases from within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105.204(2)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background standards. </w:t>
      </w:r>
      <w:r>
        <w:rPr>
          <w:rFonts w:ascii="Times New Roman" w:hAnsi="Times New Roman"/>
          <w:b w:val="false"/>
          <w:i w:val="false"/>
          <w:color w:val="000000"/>
          <w:sz w:val="22"/>
        </w:rPr>
        <w:t>Background standards shall be based on sampling at appropriate site-specific background locations. Background sampling locations shall be outside the influence of any possible contamination associated with releases occurring on the property in which the enrolled site is located. Sufficient supporting information shall be provided to demonstrate the appropriateness of background sampling locations. Appropriateness for background sampling locations has two aspects that shall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samples shall be collected from a location that represents a true background condition with respect to the enrolled site.  A background groundwater sample shall be collected from an upgradient location relative to groundwater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samples will represent conditions that are comparable to the contaminated media being addressed. In the case of soils, samples from the affected area and the background areas will be comparable in physical, chemical, and biological attributes.</w:t>
      </w:r>
    </w:p>
    <w:p>
      <w:pPr>
        <w:spacing w:before="0" w:after="0"/>
        <w:ind w:left="120"/>
        <w:jc w:val="both"/>
      </w:pPr>
      <w:r>
        <w:rPr>
          <w:rFonts w:ascii="Times New Roman" w:hAnsi="Times New Roman"/>
          <w:b w:val="false"/>
          <w:i w:val="false"/>
          <w:color w:val="000000"/>
          <w:sz w:val="22"/>
        </w:rPr>
        <w:t xml:space="preserve">Sampling conducted for the purpose of establishing a background standard shall meet quality criteria specified for the site assessment, </w:t>
      </w:r>
      <w:hyperlink r:id="rId4">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 xml:space="preserve">(455H). The minimum number of samples to be collected from the medium of concern for which a background standard is being established shall be consistent with </w:t>
      </w:r>
      <w:hyperlink r:id="rId5">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 regarding demonstration of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08.pdf" Type="http://schemas.openxmlformats.org/officeDocument/2006/relationships/hyperlink" Id="rId4"/>
    <Relationship TargetMode="External" Target="https://www.legis.iowa.gov/docs/iac/rule/567.105.21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