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567—105.202</w:t>
      </w:r>
      <w:r>
        <w:rPr>
          <w:rFonts w:ascii="Times New Roman" w:hAnsi="Times New Roman"/>
          <w:b/>
          <w:i w:val="false"/>
          <w:color w:val="000000"/>
          <w:sz w:val="22"/>
        </w:rPr>
        <w:t xml:space="preserve">(455H)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these definitions and the definitions in Iowa Code section </w:t>
      </w:r>
      <w:hyperlink r:id="rId4">
        <w:r>
          <w:rPr>
            <w:rStyle w:val="Hyperlink"/>
            <w:rFonts w:ascii="Times New Roman" w:hAnsi="Times New Roman"/>
            <w:b w:val="false"/>
            <w:i w:val="false"/>
            <w:color w:val="000000"/>
            <w:sz w:val="22"/>
          </w:rPr>
          <w:t>455H.103</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“ASTM standards”</w:t>
      </w:r>
      <w:r>
        <w:rPr>
          <w:rFonts w:ascii="Times New Roman" w:hAnsi="Times New Roman"/>
          <w:b w:val="false"/>
          <w:i w:val="false"/>
          <w:color w:val="000000"/>
          <w:sz w:val="22"/>
        </w:rPr>
        <w:t> </w:t>
      </w:r>
      <w:r>
        <w:rPr>
          <w:rFonts w:ascii="Times New Roman" w:hAnsi="Times New Roman"/>
          <w:b w:val="false"/>
          <w:i w:val="false"/>
          <w:color w:val="000000"/>
          <w:sz w:val="22"/>
        </w:rPr>
        <w:t>means the standards as specified in these rules and most recently adopted by ASTM International as of August 1, 2025, unless otherwise noted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“Background standard”</w:t>
      </w:r>
      <w:r>
        <w:rPr>
          <w:rFonts w:ascii="Times New Roman" w:hAnsi="Times New Roman"/>
          <w:b w:val="false"/>
          <w:i w:val="false"/>
          <w:color w:val="000000"/>
          <w:sz w:val="22"/>
        </w:rPr>
        <w:t> </w:t>
      </w:r>
      <w:r>
        <w:rPr>
          <w:rFonts w:ascii="Times New Roman" w:hAnsi="Times New Roman"/>
          <w:b w:val="false"/>
          <w:i w:val="false"/>
          <w:color w:val="000000"/>
          <w:sz w:val="22"/>
        </w:rPr>
        <w:t>means a standard that represents concentrations of contaminants that are naturally occurring or are generally present and not related to a readily identifiable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“Carcinogenic health risk”</w:t>
      </w:r>
      <w:r>
        <w:rPr>
          <w:rFonts w:ascii="Times New Roman" w:hAnsi="Times New Roman"/>
          <w:b w:val="false"/>
          <w:i w:val="false"/>
          <w:color w:val="000000"/>
          <w:sz w:val="22"/>
        </w:rPr>
        <w:t> </w:t>
      </w:r>
      <w:r>
        <w:rPr>
          <w:rFonts w:ascii="Times New Roman" w:hAnsi="Times New Roman"/>
          <w:b w:val="false"/>
          <w:i w:val="false"/>
          <w:color w:val="000000"/>
          <w:sz w:val="22"/>
        </w:rPr>
        <w:t>means the incremental risk of a person developing cancer over a lifetime (70 years) as a result of exposure to a hazardous substance, expressed as a probability such as one in a million (10-6). The contaminant level for the probability value is derived from application of certain designated exposure assumptions and a slope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“Code of Federal Regulations”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means the federal administrative rules adopted by the United States as amended through August 1, 2025, unless otherwise noted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“Contaminant”</w:t>
      </w:r>
      <w:r>
        <w:rPr>
          <w:rFonts w:ascii="Times New Roman" w:hAnsi="Times New Roman"/>
          <w:b w:val="false"/>
          <w:i w:val="false"/>
          <w:color w:val="000000"/>
          <w:sz w:val="22"/>
        </w:rPr>
        <w:t> </w:t>
      </w:r>
      <w:r>
        <w:rPr>
          <w:rFonts w:ascii="Times New Roman" w:hAnsi="Times New Roman"/>
          <w:b w:val="false"/>
          <w:i w:val="false"/>
          <w:color w:val="000000"/>
          <w:sz w:val="22"/>
        </w:rPr>
        <w:t>means any hazardous substance found in the various media of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“Contaminant of concern”</w:t>
      </w:r>
      <w:r>
        <w:rPr>
          <w:rFonts w:ascii="Times New Roman" w:hAnsi="Times New Roman"/>
          <w:b w:val="false"/>
          <w:i w:val="false"/>
          <w:color w:val="000000"/>
          <w:sz w:val="22"/>
        </w:rPr>
        <w:t> </w:t>
      </w:r>
      <w:r>
        <w:rPr>
          <w:rFonts w:ascii="Times New Roman" w:hAnsi="Times New Roman"/>
          <w:b w:val="false"/>
          <w:i w:val="false"/>
          <w:color w:val="000000"/>
          <w:sz w:val="22"/>
        </w:rPr>
        <w:t>means specific hazardous substances that are identified for evaluation in the risk assessment process. Identification can be based on their historical and current use at the site, detected concentrations in environmental media and their mobility, toxicity, and persistence in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“Cumulative risk”</w:t>
      </w:r>
      <w:r>
        <w:rPr>
          <w:rFonts w:ascii="Times New Roman" w:hAnsi="Times New Roman"/>
          <w:b w:val="false"/>
          <w:i w:val="false"/>
          <w:color w:val="000000"/>
          <w:sz w:val="22"/>
        </w:rPr>
        <w:t> </w:t>
      </w:r>
      <w:r>
        <w:rPr>
          <w:rFonts w:ascii="Times New Roman" w:hAnsi="Times New Roman"/>
          <w:b w:val="false"/>
          <w:i w:val="false"/>
          <w:color w:val="000000"/>
          <w:sz w:val="22"/>
        </w:rPr>
        <w:t>means a summation of cancer and noncancer risks, determined separately, based on exposure to multiple contaminants from the same medium and exposure of the same individual to contaminants in multiple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“Enrolled site”</w:t>
      </w:r>
      <w:r>
        <w:rPr>
          <w:rFonts w:ascii="Times New Roman" w:hAnsi="Times New Roman"/>
          <w:b w:val="false"/>
          <w:i w:val="false"/>
          <w:color w:val="000000"/>
          <w:sz w:val="22"/>
        </w:rPr>
        <w:t> </w:t>
      </w:r>
      <w:r>
        <w:rPr>
          <w:rFonts w:ascii="Times New Roman" w:hAnsi="Times New Roman"/>
          <w:b w:val="false"/>
          <w:i w:val="false"/>
          <w:color w:val="000000"/>
          <w:sz w:val="22"/>
        </w:rPr>
        <w:t>means any property as defined by a legal description, a parcel number, or similar description that sufficiently defines the property in question, that has been or is suspected to be the site of or affected by a release and that has been enrolled pursuant to this division by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“Environmental protection easement”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institutional control created under Iowa Code section </w:t>
      </w:r>
      <w:hyperlink r:id="rId5">
        <w:r>
          <w:rPr>
            <w:rStyle w:val="Hyperlink"/>
            <w:rFonts w:ascii="Times New Roman" w:hAnsi="Times New Roman"/>
            <w:b w:val="false"/>
            <w:i w:val="false"/>
            <w:color w:val="000000"/>
            <w:sz w:val="22"/>
          </w:rPr>
          <w:t>455H.206</w:t>
        </w:r>
      </w:hyperlink>
      <w:r>
        <w:rPr>
          <w:rFonts w:ascii="Times New Roman" w:hAnsi="Times New Roman"/>
          <w:b w:val="false"/>
          <w:i w:val="false"/>
          <w:color w:val="000000"/>
          <w:sz w:val="22"/>
        </w:rPr>
        <w:t xml:space="preserve"> that is a statutorily authorized restriction on 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“Exposure pathway”</w:t>
      </w:r>
      <w:r>
        <w:rPr>
          <w:rFonts w:ascii="Times New Roman" w:hAnsi="Times New Roman"/>
          <w:b w:val="false"/>
          <w:i w:val="false"/>
          <w:color w:val="000000"/>
          <w:sz w:val="22"/>
        </w:rPr>
        <w:t> </w:t>
      </w:r>
      <w:r>
        <w:rPr>
          <w:rFonts w:ascii="Times New Roman" w:hAnsi="Times New Roman"/>
          <w:b w:val="false"/>
          <w:i w:val="false"/>
          <w:color w:val="000000"/>
          <w:sz w:val="22"/>
        </w:rPr>
        <w:t>means the course a contaminant of concern may take from its source area to an exposed organism. Each exposure pathway includes a source or release from a source, a point of exposure, and an exposure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“Exposure route”</w:t>
      </w:r>
      <w:r>
        <w:rPr>
          <w:rFonts w:ascii="Times New Roman" w:hAnsi="Times New Roman"/>
          <w:b w:val="false"/>
          <w:i w:val="false"/>
          <w:color w:val="000000"/>
          <w:sz w:val="22"/>
        </w:rPr>
        <w:t> </w:t>
      </w:r>
      <w:r>
        <w:rPr>
          <w:rFonts w:ascii="Times New Roman" w:hAnsi="Times New Roman"/>
          <w:b w:val="false"/>
          <w:i w:val="false"/>
          <w:color w:val="000000"/>
          <w:sz w:val="22"/>
        </w:rPr>
        <w:t>means the manner in which a contaminant of concern comes in contact with an organism (including but not limited to ingestion, inhalation, dermal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“Free product”</w:t>
      </w:r>
      <w:r>
        <w:rPr>
          <w:rFonts w:ascii="Times New Roman" w:hAnsi="Times New Roman"/>
          <w:b w:val="false"/>
          <w:i w:val="false"/>
          <w:color w:val="000000"/>
          <w:sz w:val="22"/>
        </w:rPr>
        <w:t> </w:t>
      </w:r>
      <w:r>
        <w:rPr>
          <w:rFonts w:ascii="Times New Roman" w:hAnsi="Times New Roman"/>
          <w:b w:val="false"/>
          <w:i w:val="false"/>
          <w:color w:val="000000"/>
          <w:sz w:val="22"/>
        </w:rPr>
        <w:t>means a hazardous substance that is present as a nonaqueous phase liquid (e.g., liquid not dissolved in water) or is present as a solid in its original form as a product or waste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“Gross contamination”</w:t>
      </w:r>
      <w:r>
        <w:rPr>
          <w:rFonts w:ascii="Times New Roman" w:hAnsi="Times New Roman"/>
          <w:b w:val="false"/>
          <w:i w:val="false"/>
          <w:color w:val="000000"/>
          <w:sz w:val="22"/>
        </w:rPr>
        <w:t> </w:t>
      </w:r>
      <w:r>
        <w:rPr>
          <w:rFonts w:ascii="Times New Roman" w:hAnsi="Times New Roman"/>
          <w:b w:val="false"/>
          <w:i w:val="false"/>
          <w:color w:val="000000"/>
          <w:sz w:val="22"/>
        </w:rPr>
        <w:t>means contamination present at concentrations in an amount sufficient to reasonably expect that institutional or technological controls will not be adequately protective of human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“Group A, B, C, D and E chemicals”</w:t>
      </w:r>
      <w:r>
        <w:rPr>
          <w:rFonts w:ascii="Times New Roman" w:hAnsi="Times New Roman"/>
          <w:b w:val="false"/>
          <w:i w:val="false"/>
          <w:color w:val="000000"/>
          <w:sz w:val="22"/>
        </w:rPr>
        <w:t> </w:t>
      </w:r>
      <w:r>
        <w:rPr>
          <w:rFonts w:ascii="Times New Roman" w:hAnsi="Times New Roman"/>
          <w:b w:val="false"/>
          <w:i w:val="false"/>
          <w:color w:val="000000"/>
          <w:sz w:val="22"/>
        </w:rPr>
        <w:t>means hazardous substances that have been classified based on the weight of evidence of human carcinogenicity. Group A substances are carcinogenic to humans. Group B substances are likely to be carcinogenic to humans. Group C substances have suggestive evidence of human carcinogenicity, but not sufficient evidence to assess human carcinogenic potential. Data are inadequate to assess human carcinogenic potential for Group D substances. Group E substances are not likely to be carcinogenic to humans.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“Hydraulic conductivity”</w:t>
      </w:r>
      <w:r>
        <w:rPr>
          <w:rFonts w:ascii="Times New Roman" w:hAnsi="Times New Roman"/>
          <w:b w:val="false"/>
          <w:i w:val="false"/>
          <w:color w:val="000000"/>
          <w:sz w:val="22"/>
        </w:rPr>
        <w:t> </w:t>
      </w:r>
      <w:r>
        <w:rPr>
          <w:rFonts w:ascii="Times New Roman" w:hAnsi="Times New Roman"/>
          <w:b w:val="false"/>
          <w:i w:val="false"/>
          <w:color w:val="000000"/>
          <w:sz w:val="22"/>
        </w:rPr>
        <w:t>means a measure of the capacity of a porous medium (rock or soil) to transmit water. It is expressed as the volume of water that will flow through a unit length of a unit cross-sectional area of the porous medium in a unit time with a unit head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 controls”</w:t>
      </w:r>
      <w:r>
        <w:rPr>
          <w:rFonts w:ascii="Times New Roman" w:hAnsi="Times New Roman"/>
          <w:b w:val="false"/>
          <w:i w:val="false"/>
          <w:color w:val="000000"/>
          <w:sz w:val="22"/>
        </w:rPr>
        <w:t> </w:t>
      </w:r>
      <w:r>
        <w:rPr>
          <w:rFonts w:ascii="Times New Roman" w:hAnsi="Times New Roman"/>
          <w:b w:val="false"/>
          <w:i w:val="false"/>
          <w:color w:val="000000"/>
          <w:sz w:val="22"/>
        </w:rPr>
        <w:t>means a nonphysical action that restricts land use to reduce or eliminate exposure to the contaminants of an affected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“Lifetime health advisory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“HAL”</w:t>
      </w:r>
      <w:r>
        <w:rPr>
          <w:rFonts w:ascii="Times New Roman" w:hAnsi="Times New Roman"/>
          <w:b w:val="false"/>
          <w:i w:val="false"/>
          <w:color w:val="000000"/>
          <w:sz w:val="22"/>
        </w:rPr>
        <w:t> </w:t>
      </w:r>
      <w:r>
        <w:rPr>
          <w:rFonts w:ascii="Times New Roman" w:hAnsi="Times New Roman"/>
          <w:b w:val="false"/>
          <w:i w:val="false"/>
          <w:color w:val="000000"/>
          <w:sz w:val="22"/>
        </w:rPr>
        <w:t>means a lifetime health advisory level for a contaminant, established by the United States Environmental Protection Agency (EPA). Health advisories represent the concentration of a single contaminant, based on current toxicological information, in drinking water that is not expected to cause adverse health effects over lifetime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“Maximum contaminant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“MCL”</w:t>
      </w:r>
      <w:r>
        <w:rPr>
          <w:rFonts w:ascii="Times New Roman" w:hAnsi="Times New Roman"/>
          <w:b w:val="false"/>
          <w:i w:val="false"/>
          <w:color w:val="000000"/>
          <w:sz w:val="22"/>
        </w:rPr>
        <w:t> </w:t>
      </w:r>
      <w:r>
        <w:rPr>
          <w:rFonts w:ascii="Times New Roman" w:hAnsi="Times New Roman"/>
          <w:b w:val="false"/>
          <w:i w:val="false"/>
          <w:color w:val="000000"/>
          <w:sz w:val="22"/>
        </w:rPr>
        <w:t>means the enforceable maximum contaminant level established by the EPA pursuant to the Safe Drinking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 further action 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no further action letter as described in Iowa Code section </w:t>
      </w:r>
      <w:hyperlink r:id="rId6">
        <w:r>
          <w:rPr>
            <w:rStyle w:val="Hyperlink"/>
            <w:rFonts w:ascii="Times New Roman" w:hAnsi="Times New Roman"/>
            <w:b w:val="false"/>
            <w:i w:val="false"/>
            <w:color w:val="000000"/>
            <w:sz w:val="22"/>
          </w:rPr>
          <w:t>455H.301</w:t>
        </w:r>
      </w:hyperlink>
      <w:r>
        <w:rPr>
          <w:rFonts w:ascii="Times New Roman" w:hAnsi="Times New Roman"/>
          <w:b w:val="false"/>
          <w:i w:val="false"/>
          <w:color w:val="000000"/>
          <w:sz w:val="22"/>
        </w:rPr>
        <w:t>. It is a document issued by the department to the participant certifying no further response action is required at an enrolled site for those conditions classified as no further action except the monitoring or the maintenance of institutional or technological controls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 further action certification”</w:t>
      </w:r>
      <w:r>
        <w:rPr>
          <w:rFonts w:ascii="Times New Roman" w:hAnsi="Times New Roman"/>
          <w:b w:val="false"/>
          <w:i w:val="false"/>
          <w:color w:val="000000"/>
          <w:sz w:val="22"/>
        </w:rPr>
        <w:t> </w:t>
      </w:r>
      <w:r>
        <w:rPr>
          <w:rFonts w:ascii="Times New Roman" w:hAnsi="Times New Roman"/>
          <w:b w:val="false"/>
          <w:i w:val="false"/>
          <w:color w:val="000000"/>
          <w:sz w:val="22"/>
        </w:rPr>
        <w:t>means the department has determined an enrolled site has met all standards applicable for the identified hazardous substances and no further response action is required except the monitoring or the maintenance of institutional or technological controls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“Nonresidential land-use area”</w:t>
      </w:r>
      <w:r>
        <w:rPr>
          <w:rFonts w:ascii="Times New Roman" w:hAnsi="Times New Roman"/>
          <w:b w:val="false"/>
          <w:i w:val="false"/>
          <w:color w:val="000000"/>
          <w:sz w:val="22"/>
        </w:rPr>
        <w:t> </w:t>
      </w:r>
      <w:r>
        <w:rPr>
          <w:rFonts w:ascii="Times New Roman" w:hAnsi="Times New Roman"/>
          <w:b w:val="false"/>
          <w:i w:val="false"/>
          <w:color w:val="000000"/>
          <w:sz w:val="22"/>
        </w:rPr>
        <w:t>means any area that is not a residential land-use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“Participant”</w:t>
      </w:r>
      <w:r>
        <w:rPr>
          <w:rFonts w:ascii="Times New Roman" w:hAnsi="Times New Roman"/>
          <w:b w:val="false"/>
          <w:i w:val="false"/>
          <w:color w:val="000000"/>
          <w:sz w:val="22"/>
        </w:rPr>
        <w:t> </w:t>
      </w:r>
      <w:r>
        <w:rPr>
          <w:rFonts w:ascii="Times New Roman" w:hAnsi="Times New Roman"/>
          <w:b w:val="false"/>
          <w:i w:val="false"/>
          <w:color w:val="000000"/>
          <w:sz w:val="22"/>
        </w:rPr>
        <w:t>means any person who applies for the program or enrolls property pursuant to this chapter. A participant is a participant only to the extent the participant complies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“Point of compliance”</w:t>
      </w:r>
      <w:r>
        <w:rPr>
          <w:rFonts w:ascii="Times New Roman" w:hAnsi="Times New Roman"/>
          <w:b w:val="false"/>
          <w:i w:val="false"/>
          <w:color w:val="000000"/>
          <w:sz w:val="22"/>
        </w:rPr>
        <w:t> </w:t>
      </w:r>
      <w:r>
        <w:rPr>
          <w:rFonts w:ascii="Times New Roman" w:hAnsi="Times New Roman"/>
          <w:b w:val="false"/>
          <w:i w:val="false"/>
          <w:color w:val="000000"/>
          <w:sz w:val="22"/>
        </w:rPr>
        <w:t>means a location selected within the affected area where the concentration of contaminants of concern must be at or below the target levels established for that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“Point of exposure”</w:t>
      </w:r>
      <w:r>
        <w:rPr>
          <w:rFonts w:ascii="Times New Roman" w:hAnsi="Times New Roman"/>
          <w:b w:val="false"/>
          <w:i w:val="false"/>
          <w:color w:val="000000"/>
          <w:sz w:val="22"/>
        </w:rPr>
        <w:t> </w:t>
      </w:r>
      <w:r>
        <w:rPr>
          <w:rFonts w:ascii="Times New Roman" w:hAnsi="Times New Roman"/>
          <w:b w:val="false"/>
          <w:i w:val="false"/>
          <w:color w:val="000000"/>
          <w:sz w:val="22"/>
        </w:rPr>
        <w:t>means the location at which an individual or population may come in contact with a contaminant of concern from the enrolled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“Receptor”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or population that is or may be affected by a release from the enrolled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“Reference dose,”</w:t>
      </w:r>
      <w:r>
        <w:rPr>
          <w:rFonts w:ascii="Times New Roman" w:hAnsi="Times New Roman"/>
          <w:b w:val="false"/>
          <w:i w:val="false"/>
          <w:color w:val="000000"/>
          <w:sz w:val="22"/>
        </w:rPr>
        <w:t> </w:t>
      </w:r>
      <w:r>
        <w:rPr>
          <w:rFonts w:ascii="Times New Roman" w:hAnsi="Times New Roman"/>
          <w:b w:val="false"/>
          <w:i w:val="false"/>
          <w:color w:val="000000"/>
          <w:sz w:val="22"/>
        </w:rPr>
        <w:t>expressed in units of milligrams per day exposure to the contaminant per kilogram of body weight of the exposed individual, means the amount of contaminant that an individual can ingest on a daily basis for a lifetime that is not likely to result in adverse noncancer health effects. A reference dose is protective of the entire human population, including sensitive subpopulations.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land-use area”</w:t>
      </w:r>
      <w:r>
        <w:rPr>
          <w:rFonts w:ascii="Times New Roman" w:hAnsi="Times New Roman"/>
          <w:b w:val="false"/>
          <w:i w:val="false"/>
          <w:color w:val="000000"/>
          <w:sz w:val="22"/>
        </w:rPr>
        <w:t> </w:t>
      </w:r>
      <w:r>
        <w:rPr>
          <w:rFonts w:ascii="Times New Roman" w:hAnsi="Times New Roman"/>
          <w:b w:val="false"/>
          <w:i w:val="false"/>
          <w:color w:val="000000"/>
          <w:sz w:val="22"/>
        </w:rPr>
        <w:t>means an area zoned for residential use or an area where residential use currently exists, is planned, or is not otherwise precluded. In addition, a residential land-use area includes other areas where frequent, long-term, close contact with soils is likely to occur (e.g., playgrounds, sport fields, gardens, child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“Risk evaluation/response action document”</w:t>
      </w:r>
      <w:r>
        <w:rPr>
          <w:rFonts w:ascii="Times New Roman" w:hAnsi="Times New Roman"/>
          <w:b w:val="false"/>
          <w:i w:val="false"/>
          <w:color w:val="000000"/>
          <w:sz w:val="22"/>
        </w:rPr>
        <w:t> </w:t>
      </w:r>
      <w:r>
        <w:rPr>
          <w:rFonts w:ascii="Times New Roman" w:hAnsi="Times New Roman"/>
          <w:b w:val="false"/>
          <w:i w:val="false"/>
          <w:color w:val="000000"/>
          <w:sz w:val="22"/>
        </w:rPr>
        <w:t>means a document based on the site assessment for the enrolled site that includes a risk evaluation, proposed response action, and proposed compliance verification strategy for the enrolled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 assessment plan”</w:t>
      </w:r>
      <w:r>
        <w:rPr>
          <w:rFonts w:ascii="Times New Roman" w:hAnsi="Times New Roman"/>
          <w:b w:val="false"/>
          <w:i w:val="false"/>
          <w:color w:val="000000"/>
          <w:sz w:val="22"/>
        </w:rPr>
        <w:t> </w:t>
      </w:r>
      <w:r>
        <w:rPr>
          <w:rFonts w:ascii="Times New Roman" w:hAnsi="Times New Roman"/>
          <w:b w:val="false"/>
          <w:i w:val="false"/>
          <w:color w:val="000000"/>
          <w:sz w:val="22"/>
        </w:rPr>
        <w:t>means the optional plan submitted to the department that lays out the rationale and the steps to be followed in the conduct of a site assessment for the enrolled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 assessment report”</w:t>
      </w:r>
      <w:r>
        <w:rPr>
          <w:rFonts w:ascii="Times New Roman" w:hAnsi="Times New Roman"/>
          <w:b w:val="false"/>
          <w:i w:val="false"/>
          <w:color w:val="000000"/>
          <w:sz w:val="22"/>
        </w:rPr>
        <w:t> </w:t>
      </w:r>
      <w:r>
        <w:rPr>
          <w:rFonts w:ascii="Times New Roman" w:hAnsi="Times New Roman"/>
          <w:b w:val="false"/>
          <w:i w:val="false"/>
          <w:color w:val="000000"/>
          <w:sz w:val="22"/>
        </w:rPr>
        <w:t>means the report of the site assessment that defines the nature and extent of contamination, identifies likely exposure pathways, and allows for characterizing potential and current exposure risks posed by the enrolled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“Site-specific standard”</w:t>
      </w:r>
      <w:r>
        <w:rPr>
          <w:rFonts w:ascii="Times New Roman" w:hAnsi="Times New Roman"/>
          <w:b w:val="false"/>
          <w:i w:val="false"/>
          <w:color w:val="000000"/>
          <w:sz w:val="22"/>
        </w:rPr>
        <w:t> </w:t>
      </w:r>
      <w:r>
        <w:rPr>
          <w:rFonts w:ascii="Times New Roman" w:hAnsi="Times New Roman"/>
          <w:b w:val="false"/>
          <w:i w:val="false"/>
          <w:color w:val="000000"/>
          <w:sz w:val="22"/>
        </w:rPr>
        <w:t>means a standard for a specific site that represents a concentration of a contaminant in a media of an affected area at which exposure through a specific pathway is considered unlikely to pose a threat to human health, safety, or the environment given site-specific factors related to contaminant transport and likely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“Slope factor”</w:t>
      </w:r>
      <w:r>
        <w:rPr>
          <w:rFonts w:ascii="Times New Roman" w:hAnsi="Times New Roman"/>
          <w:b w:val="false"/>
          <w:i w:val="false"/>
          <w:color w:val="000000"/>
          <w:sz w:val="22"/>
        </w:rPr>
        <w:t> </w:t>
      </w:r>
      <w:r>
        <w:rPr>
          <w:rFonts w:ascii="Times New Roman" w:hAnsi="Times New Roman"/>
          <w:b w:val="false"/>
          <w:i w:val="false"/>
          <w:color w:val="000000"/>
          <w:sz w:val="22"/>
        </w:rPr>
        <w:t>means an upper bound estimate that approximates a 95 percent confidence limit of the increased cancer risk from a lifetime exposure to a contaminant. This estimate is expressed in units of the proportion of a population that is affected per milligram per day exposure to the contaminant per kilogram of body weight of the exposed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“Statewide standard”</w:t>
      </w:r>
      <w:r>
        <w:rPr>
          <w:rFonts w:ascii="Times New Roman" w:hAnsi="Times New Roman"/>
          <w:b w:val="false"/>
          <w:i w:val="false"/>
          <w:color w:val="000000"/>
          <w:sz w:val="22"/>
        </w:rPr>
        <w:t> </w:t>
      </w:r>
      <w:r>
        <w:rPr>
          <w:rFonts w:ascii="Times New Roman" w:hAnsi="Times New Roman"/>
          <w:b w:val="false"/>
          <w:i w:val="false"/>
          <w:color w:val="000000"/>
          <w:sz w:val="22"/>
        </w:rPr>
        <w:t>means a standard that represents a concentration of a contaminant in a specific media of an affected area at which normal, unrestricted exposure through a specific exposure pathway is considered unlikely to pose a threat to human health, safety,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“Surface water”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general use segments as provided in </w:t>
      </w:r>
      <w:hyperlink r:id="rId7">
        <w:r>
          <w:rPr>
            <w:rStyle w:val="Hyperlink"/>
            <w:rFonts w:ascii="Times New Roman" w:hAnsi="Times New Roman"/>
            <w:b w:val="false"/>
            <w:i w:val="false"/>
            <w:color w:val="000000"/>
            <w:sz w:val="22"/>
          </w:rPr>
          <w:t>567—paragraph 61.3(1)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designated use segments of water bodies as provided in </w:t>
      </w:r>
      <w:hyperlink r:id="rId8">
        <w:r>
          <w:rPr>
            <w:rStyle w:val="Hyperlink"/>
            <w:rFonts w:ascii="Times New Roman" w:hAnsi="Times New Roman"/>
            <w:b w:val="false"/>
            <w:i w:val="false"/>
            <w:color w:val="000000"/>
            <w:sz w:val="22"/>
          </w:rPr>
          <w:t>567—paragraph 61.3(1)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567—subrule 61.3(5)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 level”</w:t>
      </w:r>
      <w:r>
        <w:rPr>
          <w:rFonts w:ascii="Times New Roman" w:hAnsi="Times New Roman"/>
          <w:b w:val="false"/>
          <w:i w:val="false"/>
          <w:color w:val="000000"/>
          <w:sz w:val="22"/>
        </w:rPr>
        <w:t> </w:t>
      </w:r>
      <w:r>
        <w:rPr>
          <w:rFonts w:ascii="Times New Roman" w:hAnsi="Times New Roman"/>
          <w:b w:val="false"/>
          <w:i w:val="false"/>
          <w:color w:val="000000"/>
          <w:sz w:val="22"/>
        </w:rPr>
        <w:t>means a concentration of a contaminant of concern required to establish compliance with background, statewide or site-specific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 organ”</w:t>
      </w:r>
      <w:r>
        <w:rPr>
          <w:rFonts w:ascii="Times New Roman" w:hAnsi="Times New Roman"/>
          <w:b w:val="false"/>
          <w:i w:val="false"/>
          <w:color w:val="000000"/>
          <w:sz w:val="22"/>
        </w:rPr>
        <w:t> </w:t>
      </w:r>
      <w:r>
        <w:rPr>
          <w:rFonts w:ascii="Times New Roman" w:hAnsi="Times New Roman"/>
          <w:b w:val="false"/>
          <w:i w:val="false"/>
          <w:color w:val="000000"/>
          <w:sz w:val="22"/>
        </w:rPr>
        <w:t>means the biological organ(s) most adversely affected from exposure to the contaminant of concern. A “reference dose” used to calculate noncancer health risk is normally established based on adverse impact to a target organ or organs from exposure to the contaminant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“Technological control”</w:t>
      </w:r>
      <w:r>
        <w:rPr>
          <w:rFonts w:ascii="Times New Roman" w:hAnsi="Times New Roman"/>
          <w:b w:val="false"/>
          <w:i w:val="false"/>
          <w:color w:val="000000"/>
          <w:sz w:val="22"/>
        </w:rPr>
        <w:t> </w:t>
      </w:r>
      <w:r>
        <w:rPr>
          <w:rFonts w:ascii="Times New Roman" w:hAnsi="Times New Roman"/>
          <w:b w:val="false"/>
          <w:i w:val="false"/>
          <w:color w:val="000000"/>
          <w:sz w:val="22"/>
        </w:rPr>
        <w:t>means a physical action whose main purpose is to reduce or eliminate exposure to the contaminants of an affected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H.103.pdf" Type="http://schemas.openxmlformats.org/officeDocument/2006/relationships/hyperlink" Id="rId4"/>
    <Relationship TargetMode="External" Target="https://www.legis.iowa.gov/docs/ico/chapter/455H.206.pdf" Type="http://schemas.openxmlformats.org/officeDocument/2006/relationships/hyperlink" Id="rId5"/>
    <Relationship TargetMode="External" Target="https://www.legis.iowa.gov/docs/ico/chapter/455H.301.pdf" Type="http://schemas.openxmlformats.org/officeDocument/2006/relationships/hyperlink" Id="rId6"/>
    <Relationship TargetMode="External" Target="https://www.legis.iowa.gov/docs/iac/rule/567.61.3.pdf" Type="http://schemas.openxmlformats.org/officeDocument/2006/relationships/hyperlink" Id="rId7"/>
    <Relationship TargetMode="External" Target="https://www.legis.iowa.gov/docs/iac/rule/567.61.3.pdf" Type="http://schemas.openxmlformats.org/officeDocument/2006/relationships/hyperlink" Id="rId8"/>
    <Relationship TargetMode="External" Target="https://www.legis.iowa.gov/docs/iac/rule/567.61.3.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