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567—105.201</w:t>
      </w:r>
      <w:r>
        <w:rPr>
          <w:rFonts w:ascii="Times New Roman" w:hAnsi="Times New Roman"/>
          <w:b/>
          <w:i w:val="false"/>
          <w:color w:val="000000"/>
          <w:sz w:val="22"/>
        </w:rPr>
        <w:t xml:space="preserve">(455H)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only to releases of contaminants that are being addressed at enrolled sites. The department may in its discretion, to facilitate compliance with other provisions of this chapter, apply the response action requirements of </w:t>
      </w:r>
      <w:hyperlink r:id="rId4">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through </w:t>
      </w:r>
      <w:hyperlink r:id="rId5">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 xml:space="preserve">(455H) to releases of contaminants at sites that are not enrolled. These rules do not in any way limit the statutory liabilities of participants or nonparticipants except as expressly provided within the context of enrollment and Iowa Code chapter </w:t>
      </w:r>
      <w:hyperlink r:id="rId6">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Consistent with Iowa Code section </w:t>
      </w:r>
      <w:hyperlink r:id="rId7">
        <w:r>
          <w:rPr>
            <w:rStyle w:val="Hyperlink"/>
            <w:rFonts w:ascii="Times New Roman" w:hAnsi="Times New Roman"/>
            <w:b w:val="false"/>
            <w:i w:val="false"/>
            <w:color w:val="000000"/>
            <w:sz w:val="22"/>
          </w:rPr>
          <w:t>455H.505</w:t>
        </w:r>
      </w:hyperlink>
      <w:r>
        <w:rPr>
          <w:rFonts w:ascii="Times New Roman" w:hAnsi="Times New Roman"/>
          <w:b w:val="false"/>
          <w:i w:val="false"/>
          <w:color w:val="000000"/>
          <w:sz w:val="22"/>
        </w:rPr>
        <w:t>, these rules do not limit the authority of the department or the responsibility of statutorily responsible persons to provide notice of hazardous conditions under division I of this chapter or to respond to new releases and undertake emergency response actions under division II of this chapter. For sites that are not enrolled, division II of this chapter will remain in effect, and for enrolled sites, division II of this chapter shall apply to the extent it is not inconsistent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105.201(2)</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204.pdf" Type="http://schemas.openxmlformats.org/officeDocument/2006/relationships/hyperlink" Id="rId4"/>
    <Relationship TargetMode="External" Target="https://www.legis.iowa.gov/docs/iac/rule/567.105.210.pdf" Type="http://schemas.openxmlformats.org/officeDocument/2006/relationships/hyperlink" Id="rId5"/>
    <Relationship TargetMode="External" Target="https://www.legis.iowa.gov/docs/ico/chapter/455H.pdf" Type="http://schemas.openxmlformats.org/officeDocument/2006/relationships/hyperlink" Id="rId6"/>
    <Relationship TargetMode="External" Target="https://www.legis.iowa.gov/docs/ico/chapter/455H.50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