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567—105.104</w:t>
      </w:r>
      <w:r>
        <w:rPr>
          <w:rFonts w:ascii="Times New Roman" w:hAnsi="Times New Roman"/>
          <w:b/>
          <w:i w:val="false"/>
          <w:color w:val="000000"/>
          <w:sz w:val="22"/>
        </w:rPr>
        <w:t xml:space="preserve">(455B,455E) </w:t>
      </w:r>
      <w:r>
        <w:rPr>
          <w:rFonts w:ascii="Times New Roman" w:hAnsi="Times New Roman"/>
          <w:b/>
          <w:i w:val="false"/>
          <w:color w:val="000000"/>
          <w:sz w:val="22"/>
        </w:rPr>
        <w:t xml:space="preserve">Response to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105.104(1)</w:t>
      </w:r>
      <w:r>
        <w:rPr>
          <w:rFonts w:ascii="Times New Roman" w:hAnsi="Times New Roman"/>
          <w:b w:val="false"/>
          <w:i w:val="false"/>
          <w:color w:val="000000"/>
          <w:sz w:val="22"/>
        </w:rPr>
        <w:t> </w:t>
      </w:r>
      <w:r>
        <w:rPr>
          <w:rFonts w:ascii="Times New Roman" w:hAnsi="Times New Roman"/>
          <w:b w:val="false"/>
          <w:i/>
          <w:color w:val="000000"/>
          <w:sz w:val="22"/>
        </w:rPr>
        <w:t xml:space="preserve">Prevention of further contamination. </w:t>
      </w:r>
      <w:r>
        <w:rPr>
          <w:rFonts w:ascii="Times New Roman" w:hAnsi="Times New Roman"/>
          <w:b w:val="false"/>
          <w:i w:val="false"/>
          <w:color w:val="000000"/>
          <w:sz w:val="22"/>
        </w:rPr>
        <w:t>In all cases where an active source of contamination is identified, such as leaking tanks or current practices, that may be readily corrected, the source shall be removed, repaired or otherwise contained, or the contaminating practices ceased, immediately upon discovery of the source. In addition, readily accessible contaminants, for example concentrated contaminants spilled on the ground or accessible through a recovery well or system, shall be promptly removed to avoid or minimize further contamination in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105.104(2)</w:t>
      </w:r>
      <w:r>
        <w:rPr>
          <w:rFonts w:ascii="Times New Roman" w:hAnsi="Times New Roman"/>
          <w:b w:val="false"/>
          <w:i w:val="false"/>
          <w:color w:val="000000"/>
          <w:sz w:val="22"/>
        </w:rPr>
        <w:t> </w:t>
      </w:r>
      <w:r>
        <w:rPr>
          <w:rFonts w:ascii="Times New Roman" w:hAnsi="Times New Roman"/>
          <w:b w:val="false"/>
          <w:i/>
          <w:color w:val="000000"/>
          <w:sz w:val="22"/>
        </w:rPr>
        <w:t xml:space="preserve">Aggravated risk. </w:t>
      </w:r>
      <w:r>
        <w:rPr>
          <w:rFonts w:ascii="Times New Roman" w:hAnsi="Times New Roman"/>
          <w:b w:val="false"/>
          <w:i w:val="false"/>
          <w:color w:val="000000"/>
          <w:sz w:val="22"/>
        </w:rPr>
        <w:t xml:space="preserve">Where the contamination presents an aggravated risk, the preventative, investigatory and remedial measures provided in </w:t>
      </w:r>
      <w:hyperlink r:id="rId4">
        <w:r>
          <w:rPr>
            <w:rStyle w:val="Hyperlink"/>
            <w:rFonts w:ascii="Times New Roman" w:hAnsi="Times New Roman"/>
            <w:b w:val="false"/>
            <w:i w:val="false"/>
            <w:color w:val="000000"/>
            <w:sz w:val="22"/>
          </w:rPr>
          <w:t>105.104(1)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105.104(3)</w:t>
        </w:r>
      </w:hyperlink>
      <w:r>
        <w:rPr>
          <w:rFonts w:ascii="Times New Roman" w:hAnsi="Times New Roman"/>
          <w:b w:val="false"/>
          <w:i w:val="false"/>
          <w:color w:val="000000"/>
          <w:sz w:val="22"/>
        </w:rPr>
        <w:t xml:space="preserve"> shall be expedited to remove such risk. Additionally, the following actions shall be taken by the responsible person(s), if necessary, to protect the public health or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alternate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 security fencing or other measures to limit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necessary measures to control the source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Remove the contaminant to an approved site for storage, treatment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 physical barriers to deter the spread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Recommend to appropriate authorities the evacuation of threatened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other materials to restrain the spread of the contaminant or to mitigate its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Execute damage control or salvage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105.104(3)</w:t>
      </w:r>
      <w:r>
        <w:rPr>
          <w:rFonts w:ascii="Times New Roman" w:hAnsi="Times New Roman"/>
          <w:b w:val="false"/>
          <w:i w:val="false"/>
          <w:color w:val="000000"/>
          <w:sz w:val="22"/>
        </w:rPr>
        <w:t> </w:t>
      </w:r>
      <w:r>
        <w:rPr>
          <w:rFonts w:ascii="Times New Roman" w:hAnsi="Times New Roman"/>
          <w:b w:val="false"/>
          <w:i/>
          <w:color w:val="000000"/>
          <w:sz w:val="22"/>
        </w:rPr>
        <w:t xml:space="preserve">Significant risk. </w:t>
      </w:r>
      <w:r>
        <w:rPr>
          <w:rFonts w:ascii="Times New Roman" w:hAnsi="Times New Roman"/>
          <w:b w:val="false"/>
          <w:i w:val="false"/>
          <w:color w:val="000000"/>
          <w:sz w:val="22"/>
        </w:rPr>
        <w:t>In cases of significant risk, the following investigatory and remedial measures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responsible person shall determine the extent and levels of contamination through a site assessment conducted under the supervision of an Iowa-licensed professional engineer, an expert in the field of hydrogeology, or other qualified person. A site assessment plan shall be submitted to the department within 45 days of notice by the department, unless a shorter time is required or a longer time is authorized by the department. The plan shall be approved by the department prior to initiation of the assessment, unless otherwise approved by the department. The site assessment shall be conducted within a time frame that is approved by the department. The department may require further investigation by the responsible person to adequately assess the extent of contamination and may require the remedial action plan if necessary. If a remedial action plan is required by the department, the remedial action plan shall be submitted to the department within the time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cleanup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The goal of groundwater cleanup is use of best available technology and best management practices as long as it is reasonable and practical to remove all contaminants, and in any event until water contamination remains below the action level for any contaminant, and the department determines that the contamination is not likely to increase and no longer presents a significant risk. Where site conditions and available technology are such that attainment of these goals would be impractical, the department may establish an alternative cleanup level or levels, including such other conditions to adequately protect public health,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Where significant amounts of contaminants are documented as being present in the soils or other environment, such that groundwater contamination is occurring or is likely, active cleanup of the contaminated soils or other environment shall be implemented to the extent reasonable and necessary to prevent or minimize release to the groundwater; passive cleanup may be allowed in extraordinary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105.104(4)</w:t>
      </w:r>
      <w:r>
        <w:rPr>
          <w:rFonts w:ascii="Times New Roman" w:hAnsi="Times New Roman"/>
          <w:b w:val="false"/>
          <w:i w:val="false"/>
          <w:color w:val="000000"/>
          <w:sz w:val="22"/>
        </w:rPr>
        <w:t> </w:t>
      </w:r>
      <w:r>
        <w:rPr>
          <w:rFonts w:ascii="Times New Roman" w:hAnsi="Times New Roman"/>
          <w:b w:val="false"/>
          <w:i/>
          <w:color w:val="000000"/>
          <w:sz w:val="22"/>
        </w:rPr>
        <w:t xml:space="preserve">Nonsignificant risk. </w:t>
      </w:r>
      <w:r>
        <w:rPr>
          <w:rFonts w:ascii="Times New Roman" w:hAnsi="Times New Roman"/>
          <w:b w:val="false"/>
          <w:i w:val="false"/>
          <w:color w:val="000000"/>
          <w:sz w:val="22"/>
        </w:rPr>
        <w:t>Where significant risk is not currently present, the responsible person may be required to monitor the groundwater and implement reasonable management or other preventative measures to minimize further contamination.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104.pdf" Type="http://schemas.openxmlformats.org/officeDocument/2006/relationships/hyperlink" Id="rId4"/>
    <Relationship TargetMode="External" Target="https://www.legis.iowa.gov/docs/iac/rule/567.105.1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