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567—105.103</w:t>
      </w:r>
      <w:r>
        <w:rPr>
          <w:rFonts w:ascii="Times New Roman" w:hAnsi="Times New Roman"/>
          <w:b/>
          <w:i w:val="false"/>
          <w:color w:val="000000"/>
          <w:sz w:val="22"/>
        </w:rPr>
        <w:t xml:space="preserve">(455B,455E) </w:t>
      </w:r>
      <w:r>
        <w:rPr>
          <w:rFonts w:ascii="Times New Roman" w:hAnsi="Times New Roman"/>
          <w:b/>
          <w:i w:val="false"/>
          <w:color w:val="000000"/>
          <w:sz w:val="22"/>
        </w:rPr>
        <w:t xml:space="preserve">Documentation of contamination and source.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105.103(1)</w:t>
      </w:r>
      <w:r>
        <w:rPr>
          <w:rFonts w:ascii="Times New Roman" w:hAnsi="Times New Roman"/>
          <w:b w:val="false"/>
          <w:i w:val="false"/>
          <w:color w:val="000000"/>
          <w:sz w:val="22"/>
        </w:rPr>
        <w:t> </w:t>
      </w:r>
      <w:r>
        <w:rPr>
          <w:rFonts w:ascii="Times New Roman" w:hAnsi="Times New Roman"/>
          <w:b w:val="false"/>
          <w:i/>
          <w:color w:val="000000"/>
          <w:sz w:val="22"/>
        </w:rPr>
        <w:t xml:space="preserve">Certified laboratory. </w:t>
      </w:r>
      <w:r>
        <w:rPr>
          <w:rFonts w:ascii="Times New Roman" w:hAnsi="Times New Roman"/>
          <w:b w:val="false"/>
          <w:i w:val="false"/>
          <w:color w:val="000000"/>
          <w:sz w:val="22"/>
        </w:rPr>
        <w:t xml:space="preserve">Analyses for a contaminant regulated under this division must be performed by a laboratory certified for the analyte(s) and applicable method pursuant to </w:t>
      </w:r>
      <w:hyperlink r:id="rId4">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105.103(2)</w:t>
      </w:r>
      <w:r>
        <w:rPr>
          <w:rFonts w:ascii="Times New Roman" w:hAnsi="Times New Roman"/>
          <w:b w:val="false"/>
          <w:i w:val="false"/>
          <w:color w:val="000000"/>
          <w:sz w:val="22"/>
        </w:rPr>
        <w:t> </w:t>
      </w:r>
      <w:r>
        <w:rPr>
          <w:rFonts w:ascii="Times New Roman" w:hAnsi="Times New Roman"/>
          <w:b w:val="false"/>
          <w:i/>
          <w:color w:val="000000"/>
          <w:sz w:val="22"/>
        </w:rPr>
        <w:t xml:space="preserve">Department determination of contamination. </w:t>
      </w:r>
      <w:r>
        <w:rPr>
          <w:rFonts w:ascii="Times New Roman" w:hAnsi="Times New Roman"/>
          <w:b w:val="false"/>
          <w:i w:val="false"/>
          <w:color w:val="000000"/>
          <w:sz w:val="22"/>
        </w:rPr>
        <w:t>When the department receives or obtains evidence of groundwater contamination or the release or presence of contaminants in the environment associated with groundwater, where contamination of the groundwater may reasonably be expected, the department shall make reasonable efforts to document the source of contamination, and shall require responsible person(s) to take appropriate preventative, investigatory and remedial actions. Evidence of contamination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Water samples indicating the presence of a contaminant at levels above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Soil or surface water samples indicating the presence of a contaminant at levels above background, where release to the groundwater is likely.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Known releases of contaminants into the environment in quantities and locations that could reasonably be expected to cause groundwater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events the department determines could potentially cause groundwater contamination.</w:t>
      </w:r>
    </w:p>
    <w:p>
      <w:pPr>
        <w:spacing w:before="0" w:after="0"/>
        <w:ind w:left="120"/>
        <w:jc w:val="both"/>
      </w:pPr>
      <w:r>
        <w:rPr>
          <w:rFonts w:ascii="Times New Roman" w:hAnsi="Times New Roman"/>
          <w:b w:val="false"/>
          <w:i w:val="false"/>
          <w:color w:val="000000"/>
          <w:sz w:val="22"/>
        </w:rPr>
        <w:t>The amount and type of evidence necessary to document contamination or potential contamination will vary with the circumstances of each case, including the amount and type of contaminant involved, site topography and geologic conditions, and potential adverse effects. Normally, a reasonable number of water and soil samples will be taken or analyses obtained by the department. However, where a significant quantity of contaminants is known to have been released into the environment, for example from a spill, that could reach groundwater, the department is not required to collect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105.103(3)</w:t>
      </w:r>
      <w:r>
        <w:rPr>
          <w:rFonts w:ascii="Times New Roman" w:hAnsi="Times New Roman"/>
          <w:b w:val="false"/>
          <w:i w:val="false"/>
          <w:color w:val="000000"/>
          <w:sz w:val="22"/>
        </w:rPr>
        <w:t> </w:t>
      </w:r>
      <w:r>
        <w:rPr>
          <w:rFonts w:ascii="Times New Roman" w:hAnsi="Times New Roman"/>
          <w:b w:val="false"/>
          <w:i/>
          <w:color w:val="000000"/>
          <w:sz w:val="22"/>
        </w:rPr>
        <w:t xml:space="preserve">Department determination of source. </w:t>
      </w:r>
      <w:r>
        <w:rPr>
          <w:rFonts w:ascii="Times New Roman" w:hAnsi="Times New Roman"/>
          <w:b w:val="false"/>
          <w:i w:val="false"/>
          <w:color w:val="000000"/>
          <w:sz w:val="22"/>
        </w:rPr>
        <w:t>The department shall determine whether the contamination is or likely was caused by a particular source or sources, for example a known spill of a contaminant or current or past facilities or activities in the vicinity that involved products or substances that could be a likely source. If no such person or event can be identified, the department shall make reasonable efforts to determine whether there is a relatively restricted area of more concentrated contaminant in the vicinity that is or is likely to be a source of the contamination. This subrule does not require the department to identify a specific person or persons responsible for the contamination, but to determine whether the contamination has or has likely come from a relatively defined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105.103(4)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responsible persons. </w:t>
      </w:r>
      <w:r>
        <w:rPr>
          <w:rFonts w:ascii="Times New Roman" w:hAnsi="Times New Roman"/>
          <w:b w:val="false"/>
          <w:i w:val="false"/>
          <w:color w:val="000000"/>
          <w:sz w:val="22"/>
        </w:rPr>
        <w:t>Where a source or likely source of contamination is identified, the person or persons responsible for that source or sources shall conduct necessary preventative, investigatory and remedial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The persons responsible or potentially responsible initially shall be identified by the department through such measures as on-site observations; interviews with witnesses and local officials; review of public records, including department files; and interviews with or information obtained from potentially responsible persons. Where there may be more than one source, or the source is otherwise not conclusively identified, persons who handle or have handled materials or wastes in the vicinity of the contamination, which could be the source, shall investigate and provide information satisfactory to the department to confirm or disaffirm that their activities are a source of the contamination. Investigation by the responsible or potentially responsible person may include inspection of inventory or other records, and soil and groundwater monitoring to better define the source. Such monitoring shall conform to the requirements of </w:t>
      </w:r>
      <w:hyperlink r:id="rId5">
        <w:r>
          <w:rPr>
            <w:rStyle w:val="Hyperlink"/>
            <w:rFonts w:ascii="Times New Roman" w:hAnsi="Times New Roman"/>
            <w:b w:val="false"/>
            <w:i w:val="false"/>
            <w:color w:val="000000"/>
            <w:sz w:val="22"/>
          </w:rPr>
          <w:t>105.104(3)</w:t>
        </w:r>
      </w:hyperlink>
      <w:r>
        <w:rPr>
          <w:rFonts w:ascii="Times New Roman" w:hAnsi="Times New Roman"/>
          <w:b w:val="false"/>
          <w:i/>
          <w:color w:val="000000"/>
          <w:sz w:val="22"/>
        </w:rPr>
        <w:t>“a,”</w:t>
      </w:r>
      <w:r>
        <w:rPr>
          <w:rFonts w:ascii="Times New Roman" w:hAnsi="Times New Roman"/>
          <w:b w:val="false"/>
          <w:i w:val="false"/>
          <w:color w:val="000000"/>
          <w:sz w:val="22"/>
        </w:rPr>
        <w:t xml:space="preserve"> provided that a full-scale assessment may not be required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The department shall notify in writing the person determined responsible under the above procedures, and include a brief statement of the facts upon which the department concluded that the person is the responsible person, and the actions required; provided that where immediate action is necessary, verbal notification may be given, followed up with written notification. The person notified may provide information disputing or supplementing the information relied on by the department, which shall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Responsible persons may be jointly and severally liable, and the department is not required to name all potentially responsible person(s) in directing responsive actions to contamination.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83.pdf" Type="http://schemas.openxmlformats.org/officeDocument/2006/relationships/hyperlink" Id="rId4"/>
    <Relationship TargetMode="External" Target="https://www.legis.iowa.gov/docs/iac/rule/567.105.10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