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567—105.101</w:t>
      </w:r>
      <w:r>
        <w:rPr>
          <w:rFonts w:ascii="Times New Roman" w:hAnsi="Times New Roman"/>
          <w:b/>
          <w:i w:val="false"/>
          <w:color w:val="000000"/>
          <w:sz w:val="22"/>
        </w:rPr>
        <w:t xml:space="preserve">(455B,455E) </w:t>
      </w:r>
      <w:r>
        <w:rPr>
          <w:rFonts w:ascii="Times New Roman" w:hAnsi="Times New Roman"/>
          <w:b/>
          <w:i w:val="false"/>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105.101(1)</w:t>
      </w:r>
      <w:r>
        <w:rPr>
          <w:rFonts w:ascii="Times New Roman" w:hAnsi="Times New Roman"/>
          <w:b w:val="false"/>
          <w:i w:val="false"/>
          <w:color w:val="000000"/>
          <w:sz w:val="22"/>
        </w:rPr>
        <w:t> </w:t>
      </w:r>
      <w:r>
        <w:rPr>
          <w:rFonts w:ascii="Times New Roman" w:hAnsi="Times New Roman"/>
          <w:b w:val="false"/>
          <w:i w:val="false"/>
          <w:color w:val="000000"/>
          <w:sz w:val="22"/>
        </w:rPr>
        <w:t xml:space="preserve">These rules pertain to the cleanup of groundwater and soils and surface water where groundwater may be impacted. They may also be used as guidelines in other environmental protection activities authorized by Iowa Code chapter </w:t>
      </w:r>
      <w:hyperlink r:id="rId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Where specific federal or state programs or funds exist to address situations that are also governed by these rules, the rules and standards of the specific programs or funds will be integrated and utilized to achieve an equitable, expeditious and environmentally sound resolution of the particular contamination situation. These rules apply specifically to point source contamination only.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105.101(2)</w:t>
      </w:r>
      <w:r>
        <w:rPr>
          <w:rFonts w:ascii="Times New Roman" w:hAnsi="Times New Roman"/>
          <w:b w:val="false"/>
          <w:i w:val="false"/>
          <w:color w:val="000000"/>
          <w:sz w:val="22"/>
        </w:rPr>
        <w:t> </w:t>
      </w:r>
      <w:r>
        <w:rPr>
          <w:rFonts w:ascii="Times New Roman" w:hAnsi="Times New Roman"/>
          <w:b w:val="false"/>
          <w:i w:val="false"/>
          <w:color w:val="000000"/>
          <w:sz w:val="22"/>
        </w:rPr>
        <w:t>These rules apply specifically to cleanup actions required to abate, prevent or remediate a hazardous condition, the presence of a hazardous substance or waste, the release of a regulated substance, or the discharge of a pollutant.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105.101(3)</w:t>
      </w:r>
      <w:r>
        <w:rPr>
          <w:rFonts w:ascii="Times New Roman" w:hAnsi="Times New Roman"/>
          <w:b w:val="false"/>
          <w:i w:val="false"/>
          <w:color w:val="000000"/>
          <w:sz w:val="22"/>
        </w:rPr>
        <w:t> </w:t>
      </w:r>
      <w:r>
        <w:rPr>
          <w:rFonts w:ascii="Times New Roman" w:hAnsi="Times New Roman"/>
          <w:b w:val="false"/>
          <w:i w:val="false"/>
          <w:color w:val="000000"/>
          <w:sz w:val="22"/>
        </w:rPr>
        <w:t>These rules shall not limit the department’s authority to require remedial or preventative action, or to take remedial or preventative action, as necessary to protect public health, safety, or the environment. The department will make its evaluation on a case-by-case basis, considering site characteristics, and where more than one contaminant is present or there is no established action level, will consider the toxicity, mobility and persistence of contaminants involved. The evaluation may include the potential synergistic, antagonistic or cumulative effects of the contaminants involved in a particular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105.101(4)</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subject to these rules retain all applicable appeal rights provided in Iowa Code chapter </w:t>
      </w:r>
      <w:hyperlink r:id="rId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105.101(5)</w:t>
      </w:r>
      <w:r>
        <w:rPr>
          <w:rFonts w:ascii="Times New Roman" w:hAnsi="Times New Roman"/>
          <w:b w:val="false"/>
          <w:i w:val="false"/>
          <w:color w:val="000000"/>
          <w:sz w:val="22"/>
        </w:rPr>
        <w:t> </w:t>
      </w:r>
      <w:r>
        <w:rPr>
          <w:rFonts w:ascii="Times New Roman" w:hAnsi="Times New Roman"/>
          <w:b w:val="false"/>
          <w:i w:val="false"/>
          <w:color w:val="000000"/>
          <w:sz w:val="22"/>
        </w:rPr>
        <w:t xml:space="preserve">This chapter is applicable to releases of petroleum from underground storage tanks subject to regulation under Iowa Code chapter </w:t>
      </w:r>
      <w:hyperlink r:id="rId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division IV, part 8, to the extent they are not inconsistent with the corrective action provisions in </w:t>
      </w:r>
      <w:hyperlink r:id="rId7">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through </w:t>
      </w:r>
      <w:hyperlink r:id="rId8">
        <w:r>
          <w:rPr>
            <w:rStyle w:val="Hyperlink"/>
            <w:rFonts w:ascii="Times New Roman" w:hAnsi="Times New Roman"/>
            <w:b w:val="false"/>
            <w:i w:val="false"/>
            <w:color w:val="000000"/>
            <w:sz w:val="22"/>
          </w:rPr>
          <w:t>567—135.17</w:t>
        </w:r>
      </w:hyperlink>
      <w:r>
        <w:rPr>
          <w:rFonts w:ascii="Times New Roman" w:hAnsi="Times New Roman"/>
          <w:b w:val="false"/>
          <w:i w:val="false"/>
          <w:color w:val="000000"/>
          <w:sz w:val="22"/>
        </w:rPr>
        <w:t xml:space="preserve">(455B). This subrule is not intended to limit the authority of the department to establish liability against the responsible person(s) other than owners and operators as defined in Iowa Code section </w:t>
      </w:r>
      <w:hyperlink r:id="rId9">
        <w:r>
          <w:rPr>
            <w:rStyle w:val="Hyperlink"/>
            <w:rFonts w:ascii="Times New Roman" w:hAnsi="Times New Roman"/>
            <w:b w:val="false"/>
            <w:i w:val="false"/>
            <w:color w:val="000000"/>
            <w:sz w:val="22"/>
          </w:rPr>
          <w:t>455B.471(5)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455B.471(6)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105.101(6)</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referenced in this division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0486D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pdf"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co/chapter/455B.pdf" Type="http://schemas.openxmlformats.org/officeDocument/2006/relationships/hyperlink" Id="rId6"/>
    <Relationship TargetMode="External" Target="https://www.legis.iowa.gov/docs/iac/rule/567.135.6.pdf" Type="http://schemas.openxmlformats.org/officeDocument/2006/relationships/hyperlink" Id="rId7"/>
    <Relationship TargetMode="External" Target="https://www.legis.iowa.gov/docs/iac/rule/567.135.17.pdf" Type="http://schemas.openxmlformats.org/officeDocument/2006/relationships/hyperlink" Id="rId8"/>
    <Relationship TargetMode="External" Target="https://www.legis.iowa.gov/docs/ico/chapter/455B.471.pdf" Type="http://schemas.openxmlformats.org/officeDocument/2006/relationships/hyperlink" Id="rId9"/>
    <Relationship TargetMode="External" Target="https://www.legis.iowa.gov/docs/ico/chapter/455B.471.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