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567—105.100</w:t>
      </w:r>
      <w:r>
        <w:rPr>
          <w:rFonts w:ascii="Times New Roman" w:hAnsi="Times New Roman"/>
          <w:b/>
          <w:i w:val="false"/>
          <w:color w:val="000000"/>
          <w:sz w:val="22"/>
        </w:rPr>
        <w:t xml:space="preserve">(455B,455E)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the procedures and criteria the department uses to determine the person(s) responsible and cleanup actions necessary to meet the goals of the state pertaining to the protection of groundwater.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