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567—104.4</w:t>
      </w:r>
      <w:r>
        <w:rPr>
          <w:rFonts w:ascii="Times New Roman" w:hAnsi="Times New Roman"/>
          <w:b/>
          <w:i w:val="false"/>
          <w:color w:val="000000"/>
          <w:sz w:val="22"/>
        </w:rPr>
        <w:t xml:space="preserve">(455B,455D,455J) </w:t>
      </w:r>
      <w:r>
        <w:rPr>
          <w:rFonts w:ascii="Times New Roman" w:hAnsi="Times New Roman"/>
          <w:b/>
          <w:i w:val="false"/>
          <w:color w:val="000000"/>
          <w:sz w:val="22"/>
        </w:rPr>
        <w:t xml:space="preserve">State volume reduction and recycling goals. </w:t>
      </w:r>
      <w:r>
        <w:rPr>
          <w:rFonts w:ascii="Times New Roman" w:hAnsi="Times New Roman"/>
          <w:b w:val="false"/>
          <w:i w:val="false"/>
          <w:color w:val="000000"/>
          <w:sz w:val="22"/>
        </w:rPr>
        <w:t xml:space="preserve">The goal of the state is to reduce the amount of materials in the waste stream, existing as of July 1, 1988, by an intermediate goal of 25 percent, and by a final goal of at least 50 percent, through the practice of waste volume reduction at the source and through recycling. The updated goal progress calculations provided by the department for each planning area shall be used by the department in reporting to the general assembly on the state’s progress toward meeting the 25 and 50 percent goals. The specific methodology for determining goal progress is outlined in </w:t>
      </w:r>
      <w:hyperlink r:id="rId4">
        <w:r>
          <w:rPr>
            <w:rStyle w:val="Hyperlink"/>
            <w:rFonts w:ascii="Times New Roman" w:hAnsi="Times New Roman"/>
            <w:b w:val="false"/>
            <w:i w:val="false"/>
            <w:color w:val="000000"/>
            <w:sz w:val="22"/>
          </w:rPr>
          <w:t>567—104.5</w:t>
        </w:r>
      </w:hyperlink>
      <w:r>
        <w:rPr>
          <w:rFonts w:ascii="Times New Roman" w:hAnsi="Times New Roman"/>
          <w:b w:val="false"/>
          <w:i w:val="false"/>
          <w:color w:val="000000"/>
          <w:sz w:val="22"/>
        </w:rPr>
        <w:t xml:space="preserve">(455B,455D). A planning area designated as an environmental management system pursuant to Iowa Code section </w:t>
      </w:r>
      <w:hyperlink r:id="rId5">
        <w:r>
          <w:rPr>
            <w:rStyle w:val="Hyperlink"/>
            <w:rFonts w:ascii="Times New Roman" w:hAnsi="Times New Roman"/>
            <w:b w:val="false"/>
            <w:i w:val="false"/>
            <w:color w:val="000000"/>
            <w:sz w:val="22"/>
          </w:rPr>
          <w:t>455J.7</w:t>
        </w:r>
      </w:hyperlink>
      <w:r>
        <w:rPr>
          <w:rFonts w:ascii="Times New Roman" w:hAnsi="Times New Roman"/>
          <w:b w:val="false"/>
          <w:i w:val="false"/>
          <w:color w:val="000000"/>
          <w:sz w:val="22"/>
        </w:rPr>
        <w:t xml:space="preserve"> is exempt from the waste stream reduction goals of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0485D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104.5.pdf" Type="http://schemas.openxmlformats.org/officeDocument/2006/relationships/hyperlink" Id="rId4"/>
    <Relationship TargetMode="External" Target="https://www.legis.iowa.gov/docs/ico/chapter/455J.7.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