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567—104.1</w:t>
      </w:r>
      <w:r>
        <w:rPr>
          <w:rFonts w:ascii="Times New Roman" w:hAnsi="Times New Roman"/>
          <w:b/>
          <w:i w:val="false"/>
          <w:color w:val="000000"/>
          <w:sz w:val="22"/>
        </w:rPr>
        <w:t xml:space="preserve">(455B,455D,455J)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these rules is to provide general definitions and direction for comprehensive integrated solid waste management planning for every city and county of this state and to provide an orderly and efficient process for the assessment and collection of fees for the disposal of solid waste at a sanitary landfill. This chapter also establishes methods and criteria for the environmental management system program, a voluntary alternative to comprehensive planning for planning areas or service areas. All rules, standards, technical guidance, and other similar legal or technical documents referenced in this chapter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0485D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