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567—103.7</w:t>
      </w:r>
      <w:r>
        <w:rPr>
          <w:rFonts w:ascii="Times New Roman" w:hAnsi="Times New Roman"/>
          <w:b/>
          <w:i w:val="false"/>
          <w:color w:val="000000"/>
          <w:sz w:val="22"/>
        </w:rPr>
        <w:t xml:space="preserve">(455F) </w:t>
      </w:r>
      <w:r>
        <w:rPr>
          <w:rFonts w:ascii="Times New Roman" w:hAnsi="Times New Roman"/>
          <w:b/>
          <w:i w:val="false"/>
          <w:color w:val="000000"/>
          <w:sz w:val="22"/>
        </w:rPr>
        <w:t xml:space="preserve">Regional collection center reporting requirements. </w:t>
      </w:r>
      <w:r>
        <w:rPr>
          <w:rFonts w:ascii="Times New Roman" w:hAnsi="Times New Roman"/>
          <w:b w:val="false"/>
          <w:i w:val="false"/>
          <w:color w:val="000000"/>
          <w:sz w:val="22"/>
        </w:rPr>
        <w:t>On a form supplied by the department, each regional collection center shall submit to the department a correctly completed regional collection center semiannual report. The report shall include but not be limited to the pounds of materials managed through a reuse program, by hazardous waste contractors, and by nonhazardous waste contractors. All hazardous waste contractor invoices shall be attached. Such invoices shall depict hazardous material types, net weight of hazardous materials, and associated collection and disposal costs charged by the hazardous waste contractor to the regional collection center. Regional collection center semiannual reports shall be submitted by September 15 for the portion of the current calendar year January 1 through June 30, and by March 15 for the portion of the previous calendar year July 1 through December 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0484D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