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567—103.6</w:t>
      </w:r>
      <w:r>
        <w:rPr>
          <w:rFonts w:ascii="Times New Roman" w:hAnsi="Times New Roman"/>
          <w:b/>
          <w:i w:val="false"/>
          <w:color w:val="000000"/>
          <w:sz w:val="22"/>
        </w:rPr>
        <w:t xml:space="preserve">(455F) </w:t>
      </w:r>
      <w:r>
        <w:rPr>
          <w:rFonts w:ascii="Times New Roman" w:hAnsi="Times New Roman"/>
          <w:b/>
          <w:i w:val="false"/>
          <w:color w:val="000000"/>
          <w:sz w:val="22"/>
        </w:rPr>
        <w:t xml:space="preserve">Closure notification. </w:t>
      </w:r>
      <w:r>
        <w:rPr>
          <w:rFonts w:ascii="Times New Roman" w:hAnsi="Times New Roman"/>
          <w:b w:val="false"/>
          <w:i w:val="false"/>
          <w:color w:val="000000"/>
          <w:sz w:val="22"/>
        </w:rPr>
        <w:t>Regional collection centers and satellite facilities shall each notify the department in writing at least 60 calendar days prior to ceasing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val="false"/>
          <w:color w:val="000000"/>
          <w:sz w:val="22"/>
        </w:rPr>
        <w:t>The notification shall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regional collection center or satellite facility will notify the public within its service area that the regional collection center or satellite facility is closing and how household hazardous materials and hazardous waste from very small quantity generators should be managed after closure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how all household hazardous materials, household hazardous waste and hazardous waste from very small quantity generators will be removed from the regional collection center or satellite facility and properly managed within 60 calendar days of the regional collection center or satellite facility ceasing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how final waste disposal costs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val="false"/>
          <w:color w:val="000000"/>
          <w:sz w:val="22"/>
        </w:rPr>
        <w:t>After removal of household hazardous waste and very small quantity generator hazardous waste, a final inspection may be conducted by department staff.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