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567—103.4</w:t>
      </w:r>
      <w:r>
        <w:rPr>
          <w:rFonts w:ascii="Times New Roman" w:hAnsi="Times New Roman"/>
          <w:b/>
          <w:i w:val="false"/>
          <w:color w:val="000000"/>
          <w:sz w:val="22"/>
        </w:rPr>
        <w:t xml:space="preserve">(455F) </w:t>
      </w:r>
      <w:r>
        <w:rPr>
          <w:rFonts w:ascii="Times New Roman" w:hAnsi="Times New Roman"/>
          <w:b/>
          <w:i w:val="false"/>
          <w:color w:val="000000"/>
          <w:sz w:val="22"/>
        </w:rPr>
        <w:t xml:space="preserve">Site, structure, storage and staff qualifications. </w:t>
      </w:r>
      <w:r>
        <w:rPr>
          <w:rFonts w:ascii="Times New Roman" w:hAnsi="Times New Roman"/>
          <w:b w:val="false"/>
          <w:i w:val="false"/>
          <w:color w:val="000000"/>
          <w:sz w:val="22"/>
        </w:rPr>
        <w:t>Regional collection centers, satellite facilities and mobile units shall each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color w:val="000000"/>
          <w:sz w:val="22"/>
        </w:rPr>
        <w:t xml:space="preserve">Siting. </w:t>
      </w:r>
      <w:r>
        <w:rPr>
          <w:rFonts w:ascii="Times New Roman" w:hAnsi="Times New Roman"/>
          <w:b w:val="false"/>
          <w:i w:val="false"/>
          <w:color w:val="000000"/>
          <w:sz w:val="22"/>
        </w:rPr>
        <w:t>A site selected for a regional collection center, satellite facility or mobile unit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regional collection center, satellite facility or mobile unit used for the collection of very small quantity generator waste and household hazardous materials shall be sited on public property or on private property if an agreement exists that guarantees public access. Documentation of the private property agreement for regional collection centers and satellite facilities shall be provided to the department upon request or upon application and renewal for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site shall provide adequate secondary containment in case of a spill or other possible on-site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site shall meet all applicable zoning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site shall be adequately sized to accommodate all structures, units and activities that will take place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Regional collection centers and satellite facilities shall each have adequate security to prevent unauthorized access. Adequate security may include but is not limited to a fence and locking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mobile units and the containers used to package collected materials shall comply with applicable Iowa department of transportation rules and guidelines. At each mobile unit site, the mobile unit shall rest on a pad of a chemical-resistant, impervious, smooth material that provides secondary containment in case of a spill. A temporary surface created by securing an impervious tarp to the unloading/receiving area will meet the requirements of an impervious surface. A plan for conducting mobile unit collection events must consider the possibility of inclement weather, ensure that collected household hazardous materials and very small quantity generator hazardous waste has protection from the elements and ensure that the risk of environmental contamination is minimized.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color w:val="000000"/>
          <w:sz w:val="22"/>
        </w:rPr>
        <w:t xml:space="preserve">Structures. </w:t>
      </w:r>
      <w:r>
        <w:rPr>
          <w:rFonts w:ascii="Times New Roman" w:hAnsi="Times New Roman"/>
          <w:b w:val="false"/>
          <w:i w:val="false"/>
          <w:color w:val="000000"/>
          <w:sz w:val="22"/>
        </w:rPr>
        <w:t>Regional collection center structures or satellite facility structures shall each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structures shall be sized to adequately accommodate the collection, sorting, bulking and lab packing, packaging for disposal, and temporary storage of household hazardous materials and hazardous waste from very small quantity generators.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permanent structures shall meet the requirements of applicable fire codes and building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collection center structures and satellite facility structures shall each be designed to prevent run-on entering from adjacent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receiving areas shall have a storage capacity of at least one day’s processing capacity. All receiving, sorting, bulking, transfer and storage area surfaces shall be constructed of a chemical-resistant, impervious, smooth material so designed to be easily cleaned, nonreactive with the waste, and with proper drainage, in the form of sloped flooring, plastic-lined pits or concrete sumps, according to applicable codes. Areas used for the receiving, bulking, transferring, lab packing and storing of household hazardous materials, household hazardous waste and very small quantity generator hazardous waste shall be provided with secondary containment and protection from exposure to the weather.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All full containers of household hazardous waste and hazardous wastes from very small quantity generators must be stored in a building designed in accordance with Group H occupancy requirements and local, state and federal fire codes. It is required that hazardous waste or household hazardous waste accumulated for disposal not be accumulated on site for more than 180 days. Once the capacity limit of a collection site or time limit is reached, all waste collected shall be collected by a licensed hazardous waste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color w:val="000000"/>
          <w:sz w:val="22"/>
        </w:rPr>
        <w:t xml:space="preserve">Staff qualifications. </w:t>
      </w:r>
      <w:r>
        <w:rPr>
          <w:rFonts w:ascii="Times New Roman" w:hAnsi="Times New Roman"/>
          <w:b w:val="false"/>
          <w:i w:val="false"/>
          <w:color w:val="000000"/>
          <w:sz w:val="22"/>
        </w:rPr>
        <w:t>Prior to handling any household hazardous materials, hazardous waste regional collection center and satellite facility staff shall each have received applicable training conducted by trainers who meet Occupational Safety and Health Administration (OSHA) instructor qualification standards. Training shall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OSHA 24-hour health and safety training as described in </w:t>
      </w:r>
      <w:r>
        <w:rPr>
          <w:rFonts w:ascii="Times New Roman" w:hAnsi="Times New Roman"/>
          <w:b w:val="false"/>
          <w:i w:val="false"/>
          <w:color w:val="000000"/>
          <w:sz w:val="22"/>
        </w:rPr>
        <w:t>29 CFR 1910.120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eight-hour refresher training as described in </w:t>
      </w:r>
      <w:r>
        <w:rPr>
          <w:rFonts w:ascii="Times New Roman" w:hAnsi="Times New Roman"/>
          <w:b w:val="false"/>
          <w:i w:val="false"/>
          <w:color w:val="000000"/>
          <w:sz w:val="22"/>
        </w:rPr>
        <w:t>29 CFR 1910.120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Hazardous materials chemistry.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Personnel and site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 lab packing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Proper transporting of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U.S. Department of Transportation hazardous materials training for the operation of a mobile unit used in the collection and transportation of household hazardous materials and hazardous waste from very small quantity generators.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