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567—103.3</w:t>
      </w:r>
      <w:r>
        <w:rPr>
          <w:rFonts w:ascii="Times New Roman" w:hAnsi="Times New Roman"/>
          <w:b/>
          <w:i w:val="false"/>
          <w:color w:val="000000"/>
          <w:sz w:val="22"/>
        </w:rPr>
        <w:t xml:space="preserve">(455F) </w:t>
      </w:r>
      <w:r>
        <w:rPr>
          <w:rFonts w:ascii="Times New Roman" w:hAnsi="Times New Roman"/>
          <w:b/>
          <w:i w:val="false"/>
          <w:color w:val="000000"/>
          <w:sz w:val="22"/>
        </w:rPr>
        <w:t xml:space="preserve">Regional collection center license and license renewal. </w:t>
      </w:r>
      <w:r>
        <w:rPr>
          <w:rFonts w:ascii="Times New Roman" w:hAnsi="Times New Roman"/>
          <w:b w:val="false"/>
          <w:i w:val="false"/>
          <w:color w:val="000000"/>
          <w:sz w:val="22"/>
        </w:rPr>
        <w:t>A license or license renewal will be issued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w:t>
      </w:r>
      <w:r>
        <w:rPr>
          <w:rFonts w:ascii="Times New Roman" w:hAnsi="Times New Roman"/>
          <w:b w:val="false"/>
          <w:i w:val="false"/>
          <w:color w:val="000000"/>
          <w:sz w:val="22"/>
        </w:rPr>
        <w:t> </w:t>
      </w:r>
      <w:r>
        <w:rPr>
          <w:rFonts w:ascii="Times New Roman" w:hAnsi="Times New Roman"/>
          <w:b w:val="false"/>
          <w:i/>
          <w:color w:val="000000"/>
          <w:sz w:val="22"/>
        </w:rPr>
        <w:t xml:space="preserve">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regional collection center shall not operate without a license issued by the department. Regional collection centers in existence prior to January 14, 2019, will automatically be issued an operating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satellite facility shall not be required to obtain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A regional collection center and satellite facility must be in compliance with current local, state and federal statutes and regulations regarding the management, storage, transportation and disposition of household hazardous materials, household hazardous waste and hazardous waste from very small quantity generators.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103.3(3)</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A regional collection center shall not be constructed without review of the site plan and written approval of the site plan by the department. The approved plans and specifications shall constitute a condition of the initial operating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103.3(4)</w:t>
      </w:r>
      <w:r>
        <w:rPr>
          <w:rFonts w:ascii="Times New Roman" w:hAnsi="Times New Roman"/>
          <w:b w:val="false"/>
          <w:i w:val="false"/>
          <w:color w:val="000000"/>
          <w:sz w:val="22"/>
        </w:rPr>
        <w:t> </w:t>
      </w:r>
      <w:r>
        <w:rPr>
          <w:rFonts w:ascii="Times New Roman" w:hAnsi="Times New Roman"/>
          <w:b w:val="false"/>
          <w:i/>
          <w:color w:val="000000"/>
          <w:sz w:val="22"/>
        </w:rPr>
        <w:t xml:space="preserve">Inspection prior to commencing initial operation. </w:t>
      </w:r>
      <w:r>
        <w:rPr>
          <w:rFonts w:ascii="Times New Roman" w:hAnsi="Times New Roman"/>
          <w:b w:val="false"/>
          <w:i w:val="false"/>
          <w:color w:val="000000"/>
          <w:sz w:val="22"/>
        </w:rPr>
        <w:t>The department shall be notified before a regional collection center or satellite facility begins operations. No household hazardous materials or hazardous waste from very small quantity generators shall be accepted by the regional collection center or satellite facility until the facility has been inspected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103.3(5)</w:t>
      </w:r>
      <w:r>
        <w:rPr>
          <w:rFonts w:ascii="Times New Roman" w:hAnsi="Times New Roman"/>
          <w:b w:val="false"/>
          <w:i w:val="false"/>
          <w:color w:val="000000"/>
          <w:sz w:val="22"/>
        </w:rPr>
        <w:t> </w:t>
      </w:r>
      <w:r>
        <w:rPr>
          <w:rFonts w:ascii="Times New Roman" w:hAnsi="Times New Roman"/>
          <w:b w:val="false"/>
          <w:i/>
          <w:color w:val="000000"/>
          <w:sz w:val="22"/>
        </w:rPr>
        <w:t xml:space="preserve">Duration and renewal of license. </w:t>
      </w:r>
      <w:r>
        <w:rPr>
          <w:rFonts w:ascii="Times New Roman" w:hAnsi="Times New Roman"/>
          <w:b w:val="false"/>
          <w:i w:val="false"/>
          <w:color w:val="000000"/>
          <w:sz w:val="22"/>
        </w:rPr>
        <w:t xml:space="preserve">The initial license issued may be renewed for a period of five years. If the license applicant is a private agency under contract with a local government, the license shall not extend past the end date of the contract. An entity designated as an environmental management system pursuant to Iowa Code section </w:t>
      </w:r>
      <w:hyperlink r:id="rId4">
        <w:r>
          <w:rPr>
            <w:rStyle w:val="Hyperlink"/>
            <w:rFonts w:ascii="Times New Roman" w:hAnsi="Times New Roman"/>
            <w:b w:val="false"/>
            <w:i w:val="false"/>
            <w:color w:val="000000"/>
            <w:sz w:val="22"/>
          </w:rPr>
          <w:t>455J.7</w:t>
        </w:r>
      </w:hyperlink>
      <w:r>
        <w:rPr>
          <w:rFonts w:ascii="Times New Roman" w:hAnsi="Times New Roman"/>
          <w:b w:val="false"/>
          <w:i w:val="false"/>
          <w:color w:val="000000"/>
          <w:sz w:val="22"/>
        </w:rPr>
        <w:t xml:space="preserve"> may opt out of the license renewal requirement provided the entity is in compliance with </w:t>
      </w:r>
      <w:hyperlink r:id="rId5">
        <w:r>
          <w:rPr>
            <w:rStyle w:val="Hyperlink"/>
            <w:rFonts w:ascii="Times New Roman" w:hAnsi="Times New Roman"/>
            <w:b w:val="false"/>
            <w:i w:val="false"/>
            <w:color w:val="000000"/>
            <w:sz w:val="22"/>
          </w:rPr>
          <w:t>103.3(2)</w:t>
        </w:r>
      </w:hyperlink>
      <w:r>
        <w:rPr>
          <w:rFonts w:ascii="Times New Roman" w:hAnsi="Times New Roman"/>
          <w:b w:val="false"/>
          <w:i w:val="false"/>
          <w:color w:val="000000"/>
          <w:sz w:val="22"/>
        </w:rPr>
        <w:t xml:space="preserve"> and there has been no change in the provisions of the current license. Any change in the provisions of the current license requires written notification to the department as described in </w:t>
      </w:r>
      <w:hyperlink r:id="rId6">
        <w:r>
          <w:rPr>
            <w:rStyle w:val="Hyperlink"/>
            <w:rFonts w:ascii="Times New Roman" w:hAnsi="Times New Roman"/>
            <w:b w:val="false"/>
            <w:i w:val="false"/>
            <w:color w:val="000000"/>
            <w:sz w:val="22"/>
          </w:rPr>
          <w:t>103.3(7)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103.3(6)</w:t>
      </w:r>
      <w:r>
        <w:rPr>
          <w:rFonts w:ascii="Times New Roman" w:hAnsi="Times New Roman"/>
          <w:b w:val="false"/>
          <w:i w:val="false"/>
          <w:color w:val="000000"/>
          <w:sz w:val="22"/>
        </w:rPr>
        <w:t> </w:t>
      </w:r>
      <w:r>
        <w:rPr>
          <w:rFonts w:ascii="Times New Roman" w:hAnsi="Times New Roman"/>
          <w:b w:val="false"/>
          <w:i/>
          <w:color w:val="000000"/>
          <w:sz w:val="22"/>
        </w:rPr>
        <w:t xml:space="preserve">Request and approval of initial license or license renewal. </w:t>
      </w:r>
      <w:r>
        <w:rPr>
          <w:rFonts w:ascii="Times New Roman" w:hAnsi="Times New Roman"/>
          <w:b w:val="false"/>
          <w:i w:val="false"/>
          <w:color w:val="000000"/>
          <w:sz w:val="22"/>
        </w:rPr>
        <w:t xml:space="preserve">A new regional collection center shall file a request for a license on a form provided by the department. An established regional collection center shall file a request for license renewal 45 calendar days prior to the expiration of the current license on a form provided by the department. The facility must be in compliance with Iowa Code chapters </w:t>
      </w:r>
      <w:hyperlink r:id="rId7">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455F</w:t>
        </w:r>
      </w:hyperlink>
      <w:r>
        <w:rPr>
          <w:rFonts w:ascii="Times New Roman" w:hAnsi="Times New Roman"/>
          <w:b w:val="false"/>
          <w:i w:val="false"/>
          <w:color w:val="000000"/>
          <w:sz w:val="22"/>
        </w:rPr>
        <w:t xml:space="preserve"> and the conditions of its current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103.3(7)</w:t>
      </w:r>
      <w:r>
        <w:rPr>
          <w:rFonts w:ascii="Times New Roman" w:hAnsi="Times New Roman"/>
          <w:b w:val="false"/>
          <w:i w:val="false"/>
          <w:color w:val="000000"/>
          <w:sz w:val="22"/>
        </w:rPr>
        <w:t> </w:t>
      </w:r>
      <w:r>
        <w:rPr>
          <w:rFonts w:ascii="Times New Roman" w:hAnsi="Times New Roman"/>
          <w:b w:val="false"/>
          <w:i/>
          <w:color w:val="000000"/>
          <w:sz w:val="22"/>
        </w:rPr>
        <w:t xml:space="preserve">License modification. </w:t>
      </w:r>
      <w:r>
        <w:rPr>
          <w:rFonts w:ascii="Times New Roman" w:hAnsi="Times New Roman"/>
          <w:b w:val="false"/>
          <w:i w:val="false"/>
          <w:color w:val="000000"/>
          <w:sz w:val="22"/>
        </w:rPr>
        <w:t xml:space="preserve">A regional collection center shall request to modify its license by notifying the department of changes to any provision of its license. A regional collection center shall notify the department within 30 calendar days of a planned change to the provisions of its license and within 7 calendar days of an unplanned change to the provisions of its license. Upon request to modify a regional collection center license, the facility must be in compliance with Iowa Code chapters </w:t>
      </w:r>
      <w:hyperlink r:id="rId10">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455F</w:t>
        </w:r>
      </w:hyperlink>
      <w:r>
        <w:rPr>
          <w:rFonts w:ascii="Times New Roman" w:hAnsi="Times New Roman"/>
          <w:b w:val="false"/>
          <w:i w:val="false"/>
          <w:color w:val="000000"/>
          <w:sz w:val="22"/>
        </w:rPr>
        <w:t xml:space="preserve"> and the conditions of its current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0484D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J.7.pdf" Type="http://schemas.openxmlformats.org/officeDocument/2006/relationships/hyperlink" Id="rId4"/>
    <Relationship TargetMode="External" Target="https://www.legis.iowa.gov/docs/iac/rule/567.103.3.pdf" Type="http://schemas.openxmlformats.org/officeDocument/2006/relationships/hyperlink" Id="rId5"/>
    <Relationship TargetMode="External" Target="https://www.legis.iowa.gov/docs/iac/rule/567.103.3.pdf" Type="http://schemas.openxmlformats.org/officeDocument/2006/relationships/hyperlink" Id="rId6"/>
    <Relationship TargetMode="External" Target="https://www.legis.iowa.gov/docs/ico/chapter/455B.pdf" Type="http://schemas.openxmlformats.org/officeDocument/2006/relationships/hyperlink" Id="rId7"/>
    <Relationship TargetMode="External" Target="https://www.legis.iowa.gov/docs/ico/chapter/455D.pdf" Type="http://schemas.openxmlformats.org/officeDocument/2006/relationships/hyperlink" Id="rId8"/>
    <Relationship TargetMode="External" Target="https://www.legis.iowa.gov/docs/ico/chapter/455F.pdf" Type="http://schemas.openxmlformats.org/officeDocument/2006/relationships/hyperlink" Id="rId9"/>
    <Relationship TargetMode="External" Target="https://www.legis.iowa.gov/docs/ico/chapter/455B.pdf" Type="http://schemas.openxmlformats.org/officeDocument/2006/relationships/hyperlink" Id="rId10"/>
    <Relationship TargetMode="External" Target="https://www.legis.iowa.gov/docs/ico/chapter/455D.pdf" Type="http://schemas.openxmlformats.org/officeDocument/2006/relationships/hyperlink" Id="rId11"/>
    <Relationship TargetMode="External" Target="https://www.legis.iowa.gov/docs/ico/chapter/455F.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