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567—103.10</w:t>
      </w:r>
      <w:r>
        <w:rPr>
          <w:rFonts w:ascii="Times New Roman" w:hAnsi="Times New Roman"/>
          <w:b/>
          <w:i w:val="false"/>
          <w:color w:val="000000"/>
          <w:sz w:val="22"/>
        </w:rPr>
        <w:t xml:space="preserve">(455E,455F) </w:t>
      </w:r>
      <w:r>
        <w:rPr>
          <w:rFonts w:ascii="Times New Roman" w:hAnsi="Times New Roman"/>
          <w:b/>
          <w:i w:val="false"/>
          <w:color w:val="000000"/>
          <w:sz w:val="22"/>
        </w:rPr>
        <w:t xml:space="preserve">Regional collection center collection and disposal support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regional collection centers are eligible to receive funding support, when available, from the department to properly manage eligible pounds of very small quantity generator hazardous waste and household hazardous waste. To receive funding, a regional collection center must be in compliance with applicable federal and state statutes and regulations. The source for this funding is described in Iowa Code section </w:t>
      </w:r>
      <w:hyperlink r:id="rId4">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(2)(d) and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103.10(2)</w:t>
      </w:r>
      <w:r>
        <w:rPr>
          <w:rFonts w:ascii="Times New Roman" w:hAnsi="Times New Roman"/>
          <w:b w:val="false"/>
          <w:i w:val="false"/>
          <w:color w:val="000000"/>
          <w:sz w:val="22"/>
        </w:rPr>
        <w:t> </w:t>
      </w:r>
      <w:r>
        <w:rPr>
          <w:rFonts w:ascii="Times New Roman" w:hAnsi="Times New Roman"/>
          <w:b w:val="false"/>
          <w:i w:val="false"/>
          <w:color w:val="000000"/>
          <w:sz w:val="22"/>
        </w:rPr>
        <w:t>To be eligible to receive support and disposal-funding assistance, a regional collection center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household hazardous waste and very small quantity generator hazardous waste removed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Correctly complete the hazardous materials collection semiannual report on a form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Attach the following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contractor invoices depicting cost and hazardous waste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net weight calculations of household hazardous waste and very small quantity generator hazardous waste obtained by subtracting container weight from final disposal weight, not the manifest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all household hazardous waste and very small quantity generator hazardous waste was disposed of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materials shipped using final disposal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regional collection center semiannual reports by September 15 for the portion of the current calendar year January 1 through June 30, and by March 15 for the portion of the previous calendar year July 1 through December 31. Reports submitted after the due date without prior approval by the department are not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103.10(3)</w:t>
      </w:r>
      <w:r>
        <w:rPr>
          <w:rFonts w:ascii="Times New Roman" w:hAnsi="Times New Roman"/>
          <w:b w:val="false"/>
          <w:i w:val="false"/>
          <w:color w:val="000000"/>
          <w:sz w:val="22"/>
        </w:rPr>
        <w:t> </w:t>
      </w:r>
      <w:r>
        <w:rPr>
          <w:rFonts w:ascii="Times New Roman" w:hAnsi="Times New Roman"/>
          <w:b w:val="false"/>
          <w:i w:val="false"/>
          <w:color w:val="000000"/>
          <w:sz w:val="22"/>
        </w:rPr>
        <w:t>Fall collection and disposal funding will be based on the regional collection center semiannual report due September 15 and on available funding. A regional collection center will receive a percentage of the available funding in an amount proportional to the amount of eligible pounds the regional collection center recycled or disposed of through a hazardous waste contractor, as reported on the regional collection center semiannual report form, compared to the total amount of eligible pounds recycled or disposed of by all regional collection centers as reported on the regional collection center semiannual report form.</w:t>
      </w:r>
    </w:p>
    <w:p>
      <w:pPr>
        <w:spacing w:before="0" w:after="0"/>
        <w:ind w:left="120"/>
        <w:jc w:val="both"/>
      </w:pPr>
      <w:r>
        <w:rPr>
          <w:rFonts w:ascii="Times New Roman" w:hAnsi="Times New Roman"/>
          <w:b w:val="false"/>
          <w:i w:val="false"/>
          <w:color w:val="000000"/>
          <w:sz w:val="22"/>
        </w:rPr>
        <w:t>Spring collection and disposal funding will be based on the total eligible pounds reported for the calendar year and on available funding. A regional collection center will receive a percentage of the available funding for the calendar year minus the amount received for the fall payment, in an amount proportional to the amount of eligible pounds the regional collection center recycled or disposed of through a hazardous waste contractor, as reported on the regional collection center semiannual report form for the calendar year, compared to the total amount of eligible pounds recycled or disposed of by all regional collection centers as reported on the regional collection center semiannual report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E.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