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567—103.1</w:t>
      </w:r>
      <w:r>
        <w:rPr>
          <w:rFonts w:ascii="Times New Roman" w:hAnsi="Times New Roman"/>
          <w:b/>
          <w:i w:val="false"/>
          <w:color w:val="000000"/>
          <w:sz w:val="22"/>
        </w:rPr>
        <w:t xml:space="preserve">(455F)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implement financial and operating license requirements for regional collection centers and satellite facilities that provide for the collection and proper disposal of household hazardous materials and hazardous waste from very small quantity generators. The costs and accessibility of hazardous materials management can be improved by the establishment and maintenance of a system of regional collection centers and satellite facilities for the safe and proper management of household hazardous materials and hazardous materials from very small quantity generators. Therefore, the department may provide financial assistance for costs associated with establishing or improving regional collection centers and satellite facilities when such funding is available. The department may also provide financial assistance for ongoing collection and disposal activities that result in eligible pounds when such funding is available.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