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567—102.9</w:t>
      </w:r>
      <w:r>
        <w:rPr>
          <w:rFonts w:ascii="Times New Roman" w:hAnsi="Times New Roman"/>
          <w:b/>
          <w:i w:val="false"/>
          <w:color w:val="000000"/>
          <w:sz w:val="22"/>
        </w:rPr>
        <w:t xml:space="preserve">(455D) </w:t>
      </w:r>
      <w:r>
        <w:rPr>
          <w:rFonts w:ascii="Times New Roman" w:hAnsi="Times New Roman"/>
          <w:b/>
          <w:i w:val="false"/>
          <w:color w:val="000000"/>
          <w:sz w:val="22"/>
        </w:rPr>
        <w:t xml:space="preserve">Tier 4 composting facility. </w:t>
      </w:r>
      <w:r>
        <w:rPr>
          <w:rFonts w:ascii="Times New Roman" w:hAnsi="Times New Roman"/>
          <w:b w:val="false"/>
          <w:i w:val="false"/>
          <w:color w:val="000000"/>
          <w:sz w:val="22"/>
        </w:rPr>
        <w:t>A Tier 4 composting facility is a compost facility that composts any amount of Type A, B, and C feedstock. Tier 4 facilities shall comply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Tier 4 composting facilities shall not be operated without a permit from the department as described in </w:t>
      </w:r>
      <w:hyperlink r:id="rId4">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 xml:space="preserve">. A permit application shall be on a form prescribed by the department and include the following in addition to the requirements in </w:t>
      </w:r>
      <w:hyperlink r:id="rId5">
        <w:r>
          <w:rPr>
            <w:rStyle w:val="Hyperlink"/>
            <w:rFonts w:ascii="Times New Roman" w:hAnsi="Times New Roman"/>
            <w:b w:val="false"/>
            <w:i w:val="false"/>
            <w:color w:val="000000"/>
            <w:sz w:val="22"/>
          </w:rPr>
          <w:t>567—subrule 100.5(1)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Aerial photography identifying wells, streams, creeks, rivers, ponds, sinkholes, and drainage wells within one-half mile of the closest portion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 documents prepared by an Iowa-licensed professional engineer that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Dimensions, details, and capacities of the proposed receiving, processing, production, curing, and storage areas, as well as the contact water containment, recycling, or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 calculations justifying the size of the composting area for the volume of material to be composted.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plans showing compliance with design requirements in </w:t>
      </w:r>
      <w:hyperlink r:id="rId6">
        <w:r>
          <w:rPr>
            <w:rStyle w:val="Hyperlink"/>
            <w:rFonts w:ascii="Times New Roman" w:hAnsi="Times New Roman"/>
            <w:b w:val="false"/>
            <w:i w:val="false"/>
            <w:color w:val="000000"/>
            <w:sz w:val="22"/>
          </w:rPr>
          <w:t>102.9(3)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stormwater management plan that prevents run-on to the operating base, as well as controls outside of the operating base for a 25-year 24-hour storm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flow diagram of all steps in the operational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operations plan addressing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method of composting, including description of the aeration method and the aeration frequency to be used to maintain aerobic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duration of composting with a time frame for receiving, processing, production, curing,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storage of feedstock, including quantity and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methods to minimize and manage odors, dust, vectors, noise, and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specific procedures to be followed in case of equipment breakdown, maintenance downtime, and fire in equipment, composting material, or buildings, including methods to be used to remove or dispose of accumulated waste and burned or damaged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Plans for using or marketing the finished compost.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method(s) of managing collected contact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method(s) of maintaining contact water management systems to maintain design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description of the monitoring, sampling, and analysis procedures and schedule for testing the composting, including sampling frequency, sample size and number, and sample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closure plan containing a description of the steps necessary to close the facility in compliance with </w:t>
      </w:r>
      <w:hyperlink r:id="rId7">
        <w:r>
          <w:rPr>
            <w:rStyle w:val="Hyperlink"/>
            <w:rFonts w:ascii="Times New Roman" w:hAnsi="Times New Roman"/>
            <w:b w:val="false"/>
            <w:i w:val="false"/>
            <w:color w:val="000000"/>
            <w:sz w:val="22"/>
          </w:rPr>
          <w:t>567—100.10</w:t>
        </w:r>
      </w:hyperlink>
      <w:r>
        <w:rPr>
          <w:rFonts w:ascii="Times New Roman" w:hAnsi="Times New Roman"/>
          <w:b w:val="false"/>
          <w:i w:val="false"/>
          <w:color w:val="000000"/>
          <w:sz w:val="22"/>
        </w:rPr>
        <w:t>(455B, 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person responsible for daily operation of the facility is certified by a department-approved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102.9(2)</w:t>
      </w:r>
      <w:r>
        <w:rPr>
          <w:rFonts w:ascii="Times New Roman" w:hAnsi="Times New Roman"/>
          <w:b w:val="false"/>
          <w:i w:val="false"/>
          <w:color w:val="000000"/>
          <w:sz w:val="22"/>
        </w:rPr>
        <w:t> </w:t>
      </w:r>
      <w:r>
        <w:rPr>
          <w:rFonts w:ascii="Times New Roman" w:hAnsi="Times New Roman"/>
          <w:b w:val="false"/>
          <w:i/>
          <w:color w:val="000000"/>
          <w:sz w:val="22"/>
        </w:rPr>
        <w:t xml:space="preserve">Design requirements. </w:t>
      </w:r>
      <w:r>
        <w:rPr>
          <w:rFonts w:ascii="Times New Roman" w:hAnsi="Times New Roman"/>
          <w:b w:val="false"/>
          <w:i w:val="false"/>
          <w:color w:val="000000"/>
          <w:sz w:val="22"/>
        </w:rPr>
        <w:t xml:space="preserve">In addition to the requirements of </w:t>
      </w:r>
      <w:hyperlink r:id="rId8">
        <w:r>
          <w:rPr>
            <w:rStyle w:val="Hyperlink"/>
            <w:rFonts w:ascii="Times New Roman" w:hAnsi="Times New Roman"/>
            <w:b w:val="false"/>
            <w:i w:val="false"/>
            <w:color w:val="000000"/>
            <w:sz w:val="22"/>
          </w:rPr>
          <w:t>102.5(2)</w:t>
        </w:r>
      </w:hyperlink>
      <w:r>
        <w:rPr>
          <w:rFonts w:ascii="Times New Roman" w:hAnsi="Times New Roman"/>
          <w:b w:val="false"/>
          <w:i w:val="false"/>
          <w:color w:val="000000"/>
          <w:sz w:val="22"/>
        </w:rPr>
        <w:t>, Tier 4 composting facilities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operations shall take place on a foundation that will permit accessibility during periods of inclement weather. The foundation shall be maintained and repaired,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base/foundation used for receiving, processing, and production of feedstock must meet the following minimum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must support the load of the equipment, vehicles, materials, and all operations for the duration of the permit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base must have sufficient slope to prevent surface ponding and to transmit contact water to a containment structure to prevent liquids from entering surface water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base must be protected with a wearing surface consisting of asphalt, concrete, compacted granular aggregate, or similar relatively impermeable material and underlain by a liner consisting of a minimum of 12 inches of recompacted clay or other approved material with a hydraulic conductivity of 1 × 10</w:t>
      </w:r>
      <w:r>
        <w:rPr>
          <w:rFonts w:ascii="Times New Roman" w:hAnsi="Times New Roman"/>
          <w:b w:val="false"/>
          <w:i w:val="false"/>
          <w:color w:val="000000"/>
          <w:sz w:val="11"/>
          <w:vertAlign w:val="superscript"/>
        </w:rPr>
        <w:t>-5</w:t>
      </w:r>
      <w:r>
        <w:rPr>
          <w:rFonts w:ascii="Times New Roman" w:hAnsi="Times New Roman"/>
          <w:b w:val="false"/>
          <w:i w:val="false"/>
          <w:color w:val="000000"/>
          <w:sz w:val="22"/>
        </w:rPr>
        <w:t xml:space="preserve"> cm/sec or less. The bottom of the liner shall be at least 12 inches above the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containment structure for contact water shall include a liner system consisting of a minimum of 12 inches of recompacted clay or other approved material with a hydraulic conductivity of 1 × 10</w:t>
      </w:r>
      <w:r>
        <w:rPr>
          <w:rFonts w:ascii="Times New Roman" w:hAnsi="Times New Roman"/>
          <w:b w:val="false"/>
          <w:i w:val="false"/>
          <w:color w:val="000000"/>
          <w:sz w:val="11"/>
          <w:vertAlign w:val="superscript"/>
        </w:rPr>
        <w:t>-7</w:t>
      </w:r>
      <w:r>
        <w:rPr>
          <w:rFonts w:ascii="Times New Roman" w:hAnsi="Times New Roman"/>
          <w:b w:val="false"/>
          <w:i w:val="false"/>
          <w:color w:val="000000"/>
          <w:sz w:val="22"/>
        </w:rPr>
        <w:t xml:space="preserve"> cm/sec or less. The bottom of the liner shall be at least five feet above the high-water 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 of the facility shall include specifications for documentation of quality control and assurance that the construction meets the minimum design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Composting facilities permitted by the department prior to September 23, 2026, shall submit a compliance plan on or before September 23, 2027, that includes a schedule to verify compliance or obtain compliance with this subrule no later than September 23, 2031.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alternatives to these design requirements that provides the same level of environmental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102.9(3)</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r>
        <w:rPr>
          <w:rFonts w:ascii="Times New Roman" w:hAnsi="Times New Roman"/>
          <w:b w:val="false"/>
          <w:i w:val="false"/>
          <w:color w:val="000000"/>
          <w:sz w:val="22"/>
        </w:rPr>
        <w:t xml:space="preserve">In addition, the requirements of </w:t>
      </w:r>
      <w:hyperlink r:id="rId9">
        <w:r>
          <w:rPr>
            <w:rStyle w:val="Hyperlink"/>
            <w:rFonts w:ascii="Times New Roman" w:hAnsi="Times New Roman"/>
            <w:b w:val="false"/>
            <w:i w:val="false"/>
            <w:color w:val="000000"/>
            <w:sz w:val="22"/>
          </w:rPr>
          <w:t>567—102.4</w:t>
        </w:r>
      </w:hyperlink>
      <w:r>
        <w:rPr>
          <w:rFonts w:ascii="Times New Roman" w:hAnsi="Times New Roman"/>
          <w:b w:val="false"/>
          <w:i w:val="false"/>
          <w:color w:val="000000"/>
          <w:sz w:val="22"/>
        </w:rPr>
        <w:t>(455D), Tier 4 composting facilities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facility shall be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Access to the facility shall be restricted with a lockable gate at the entrance to the facility and perimeter access controlled by a fence or natural barrier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Access to the facility shall be allowed only when an employee, agent, or representative of the facility is on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Emergency access to the facility shall be provided. Fire lanes shall be maintained to provide access for firefighting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putrescible materials received must be incorporated into the composting process within 24 hours of receipt, unless storage of these materials is specified in the operations plan and authorized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Compost processing time and temperatures shall meet Process to Further Reduce Pathogens (PFRP) requirements in B.1 of </w:t>
      </w:r>
      <w:r>
        <w:rPr>
          <w:rFonts w:ascii="Times New Roman" w:hAnsi="Times New Roman"/>
          <w:b w:val="false"/>
          <w:i w:val="false"/>
          <w:color w:val="000000"/>
          <w:sz w:val="22"/>
        </w:rPr>
        <w:t>40 CFR Part 503</w:t>
      </w:r>
      <w:r>
        <w:rPr>
          <w:rFonts w:ascii="Times New Roman" w:hAnsi="Times New Roman"/>
          <w:b w:val="false"/>
          <w:i w:val="false"/>
          <w:color w:val="000000"/>
          <w:sz w:val="22"/>
        </w:rPr>
        <w:t>, Appendix B, and produce compost that meets the stability necessary for the intended use. Unless otherwise proposed in the operating plan and authorized in the permit, the permit holder shall test,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Twice weekly temperature readings of compost piles, batches, and windrows.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Weekly moisture levels of compost piles, batches, and windrows.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water shall be directed to a containment, recycling, or treatment system that prevents prohibited discharges to the stormwater system or a surface water. A containment system shall have a minimum of one foot of freeboard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responsible for daily operations shall be a certified compost operator as described in </w:t>
      </w:r>
      <w:hyperlink r:id="rId10">
        <w:r>
          <w:rPr>
            <w:rStyle w:val="Hyperlink"/>
            <w:rFonts w:ascii="Times New Roman" w:hAnsi="Times New Roman"/>
            <w:b w:val="false"/>
            <w:i w:val="false"/>
            <w:color w:val="000000"/>
            <w:sz w:val="22"/>
          </w:rPr>
          <w:t>567—102.11</w:t>
        </w:r>
      </w:hyperlink>
      <w:r>
        <w:rPr>
          <w:rFonts w:ascii="Times New Roman" w:hAnsi="Times New Roman"/>
          <w:b w:val="false"/>
          <w:i w:val="false"/>
          <w:color w:val="000000"/>
          <w:sz w:val="22"/>
        </w:rPr>
        <w:t>(455D). The department may require as a condition in the permit that a facility retain a certified compost operator during all regular operational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facility shall be conducted and documented on a quarterly basis at a minimum. If deficiencies are discovered during the visual inspection, actions taken to correct the deficiency shall be documented. The inspection shall at a minimum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condition of the pad. Portions of the pad that are under windrows or piles of curing or finished compost are not required to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that ponding is not occurring on the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Verification that contact water is being directed to a containment, recycling, or treatment system and not discharging to the stormwater system or to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remaining capacity, amount of freeboard, and general condition of the contact water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condition of containers and aeration equipment used for in-vessel composting if applicable.</w:t>
      </w:r>
    </w:p>
    <w:p>
      <w:pPr>
        <w:spacing w:before="0" w:after="0"/>
        <w:ind w:left="120"/>
        <w:jc w:val="both"/>
      </w:pPr>
      <w:r>
        <w:rPr>
          <w:rFonts w:ascii="Times New Roman" w:hAnsi="Times New Roman"/>
          <w:b/>
          <w:i w:val="false"/>
          <w:color w:val="000000"/>
          <w:sz w:val="22"/>
        </w:rPr>
        <w:t>102.9(4)</w:t>
      </w:r>
      <w:r>
        <w:rPr>
          <w:rFonts w:ascii="Times New Roman" w:hAnsi="Times New Roman"/>
          <w:b w:val="false"/>
          <w:i w:val="false"/>
          <w:color w:val="000000"/>
          <w:sz w:val="22"/>
        </w:rPr>
        <w:t> </w:t>
      </w:r>
      <w:r>
        <w:rPr>
          <w:rFonts w:ascii="Times New Roman" w:hAnsi="Times New Roman"/>
          <w:b w:val="false"/>
          <w:i/>
          <w:color w:val="000000"/>
          <w:sz w:val="22"/>
        </w:rPr>
        <w:t xml:space="preserve">Product testing. </w:t>
      </w:r>
      <w:r>
        <w:rPr>
          <w:rFonts w:ascii="Times New Roman" w:hAnsi="Times New Roman"/>
          <w:b w:val="false"/>
          <w:i w:val="false"/>
          <w:color w:val="000000"/>
          <w:sz w:val="22"/>
        </w:rPr>
        <w:t>Prior to the use or sale, finished compost must be sampled and measurements taken for the purpose of product testing in a manner that is representative of the composting activity and consistent with Test Methods for Examination of Composting and Compost (TMECC) (2026) or other applicable standards approved by the department in the permit. Contaminants within finished compost must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 density of fecal coliform bacteria shall be less than 1,000 most probable number (MPN) per gram of total solids (dry weight basis) or the density of Salmonella sp. bacteria in compost shall be less than three MPN per four grams of total solids (dry weight basis).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concentrations of all metals shall be less than the following:</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08"/>
        <w:gridCol w:w="5244"/>
      </w:tblGrid>
      <w:tr>
        <w:trPr>
          <w:trHeight w:val="195"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Metal</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Concentration mg/kg dry weight</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Arsenic (As)</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41</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Cadmium (Cd)</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Copper (Cu)</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Lead (Pb)</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Mercury (Hg)</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Nickel (Ni)</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420</w:t>
            </w:r>
          </w:p>
        </w:tc>
      </w:tr>
      <w:tr>
        <w:trPr>
          <w:trHeight w:val="180"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Selenium (Se)</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95" w:hRule="atLeast"/>
        </w:trPr>
        <w:tc>
          <w:tcPr>
            <w:tcW w:w="370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Zinc (Zn)</w:t>
            </w:r>
          </w:p>
        </w:tc>
        <w:tc>
          <w:tcPr>
            <w:tcW w:w="52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2800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Compost shall be tested for stability using one of the methods listed in TMECC 5.08 (2026), Respirometry, or another method approved by the department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102.9(5)</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The following records shall be maintained by the facility for a period of three years, kept at the facility at all times, and submitted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Analytical results described in </w:t>
      </w:r>
      <w:hyperlink r:id="rId11">
        <w:r>
          <w:rPr>
            <w:rStyle w:val="Hyperlink"/>
            <w:rFonts w:ascii="Times New Roman" w:hAnsi="Times New Roman"/>
            <w:b w:val="false"/>
            <w:i w:val="false"/>
            <w:color w:val="000000"/>
            <w:sz w:val="22"/>
          </w:rPr>
          <w:t>102.9(5)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Types and weight of compostable materials and bulking agent, in tons, accepted at the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Weight of compost, in tons, removed from the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operations plan, the permit and annual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the volumes and dates of treatment, recycling, or disposal of unused contact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of visual inspections conducted pursuant to </w:t>
      </w:r>
      <w:hyperlink r:id="rId12">
        <w:r>
          <w:rPr>
            <w:rStyle w:val="Hyperlink"/>
            <w:rFonts w:ascii="Times New Roman" w:hAnsi="Times New Roman"/>
            <w:b w:val="false"/>
            <w:i w:val="false"/>
            <w:color w:val="000000"/>
            <w:sz w:val="22"/>
          </w:rPr>
          <w:t>102.9(4)</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102.9(6)</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An annual report for the previous fiscal year beginning July 1 and ending June 30 shall be submitted to the department by July 31 of each year. The report shall be submitted using a form prescribed by the department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Tons of type A feedstock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Tons of type B feedstock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Tons of type C feedstock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Tons of finished compost sold, given away or used by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Method of composting.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of certified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the most recent results of the testing required in </w:t>
      </w:r>
      <w:hyperlink r:id="rId13">
        <w:r>
          <w:rPr>
            <w:rStyle w:val="Hyperlink"/>
            <w:rFonts w:ascii="Times New Roman" w:hAnsi="Times New Roman"/>
            <w:b w:val="false"/>
            <w:i w:val="false"/>
            <w:color w:val="000000"/>
            <w:sz w:val="22"/>
          </w:rPr>
          <w:t>102.9(4)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102.9(7)</w:t>
      </w:r>
      <w:r>
        <w:rPr>
          <w:rFonts w:ascii="Times New Roman" w:hAnsi="Times New Roman"/>
          <w:b w:val="false"/>
          <w:i w:val="false"/>
          <w:color w:val="000000"/>
          <w:sz w:val="22"/>
        </w:rPr>
        <w:t> </w:t>
      </w:r>
      <w:r>
        <w:rPr>
          <w:rFonts w:ascii="Times New Roman" w:hAnsi="Times New Roman"/>
          <w:b w:val="false"/>
          <w:i/>
          <w:color w:val="000000"/>
          <w:sz w:val="22"/>
        </w:rPr>
        <w:t xml:space="preserve">Closure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to implement the closure plan in </w:t>
      </w:r>
      <w:hyperlink r:id="rId14">
        <w:r>
          <w:rPr>
            <w:rStyle w:val="Hyperlink"/>
            <w:rFonts w:ascii="Times New Roman" w:hAnsi="Times New Roman"/>
            <w:b w:val="false"/>
            <w:i w:val="false"/>
            <w:color w:val="000000"/>
            <w:sz w:val="22"/>
          </w:rPr>
          <w:t>102.9(2)</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be submitted to the department at least 30 days prior to the proposed termination date for the facility. If needed, a request to modify the closure plan may be submitted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an alternative schedule is approved by the department, within six months of the facility’s ceasing operation, the facility shall properly dispose of all organic material, solid waste, and litter and remove all finished compost from the premises.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0.4.pdf" Type="http://schemas.openxmlformats.org/officeDocument/2006/relationships/hyperlink" Id="rId4"/>
    <Relationship TargetMode="External" Target="https://www.legis.iowa.gov/docs/iac/rule/567.100.5.pdf" Type="http://schemas.openxmlformats.org/officeDocument/2006/relationships/hyperlink" Id="rId5"/>
    <Relationship TargetMode="External" Target="https://www.legis.iowa.gov/docs/iac/rule/567.102.9.pdf" Type="http://schemas.openxmlformats.org/officeDocument/2006/relationships/hyperlink" Id="rId6"/>
    <Relationship TargetMode="External" Target="https://www.legis.iowa.gov/docs/iac/rule/567.100.10.pdf" Type="http://schemas.openxmlformats.org/officeDocument/2006/relationships/hyperlink" Id="rId7"/>
    <Relationship TargetMode="External" Target="https://www.legis.iowa.gov/docs/iac/rule/567.102.5.pdf" Type="http://schemas.openxmlformats.org/officeDocument/2006/relationships/hyperlink" Id="rId8"/>
    <Relationship TargetMode="External" Target="https://www.legis.iowa.gov/docs/iac/rule/567.102.4.pdf" Type="http://schemas.openxmlformats.org/officeDocument/2006/relationships/hyperlink" Id="rId9"/>
    <Relationship TargetMode="External" Target="https://www.legis.iowa.gov/docs/iac/rule/567.102.11.pdf" Type="http://schemas.openxmlformats.org/officeDocument/2006/relationships/hyperlink" Id="rId10"/>
    <Relationship TargetMode="External" Target="https://www.legis.iowa.gov/docs/iac/rule/567.102.9.pdf" Type="http://schemas.openxmlformats.org/officeDocument/2006/relationships/hyperlink" Id="rId11"/>
    <Relationship TargetMode="External" Target="https://www.legis.iowa.gov/docs/iac/rule/567.102.9.pdf" Type="http://schemas.openxmlformats.org/officeDocument/2006/relationships/hyperlink" Id="rId12"/>
    <Relationship TargetMode="External" Target="https://www.legis.iowa.gov/docs/iac/rule/567.102.9.pdf" Type="http://schemas.openxmlformats.org/officeDocument/2006/relationships/hyperlink" Id="rId13"/>
    <Relationship TargetMode="External" Target="https://www.legis.iowa.gov/docs/iac/rule/567.102.9.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