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567—102.709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Recordkeeping requirements for CRT recycling facilities.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102.709(1)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CRT recycling facilities shall maintain the following records on a calendar year basis: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total aggregate weight and receipt date of each shipment of discarded CRTs received from businesses, institutions, CRT collection facilities, short-term CRT collection events, and other permitted CRT recycling facilities.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name, address, and contact information for shipments reported pursuant to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102.710(2)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total aggregate weight and date of each shipment leaving the CRT recycling facility.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name and address of the facility receiving a shipment that left the CRT recycling facility, contact information for the receiving facility, and a description of the shipment contents including all applicable bills of lading.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type of service the receiving facility will provide to the CRT recycling facility.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hazardous waste manifests.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102.709(2)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Records must be maintained at the facility, must be available for review by the department on demand, and may be destroyed after three years.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567.102.710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