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Recordkeeping requirements for CRT collection facilities.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102.708(1)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CRT collection facilities shall maintain the following records on a calendar year basis: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name and address of the facility receiving a shipment that left the CRT collection facility and contact information for the receiving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type of service the receiving facility will provide to the CRT collection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the shipment contents.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bills of lading.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hazardous waste manifests.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102.708(2)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Records must be maintained at the facility, must be submitted to the department upon request, and may be destroyed after three years.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