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567—102.707</w:t>
      </w:r>
      <w:r>
        <w:rPr>
          <w:rFonts w:ascii="Times New Roman" w:hAnsi="Times New Roman"/>
          <w:b/>
          <w:i w:val="false"/>
          <w:color w:val="000000"/>
          <w:sz w:val="22"/>
        </w:rPr>
        <w:t xml:space="preserve">(455D) </w:t>
      </w:r>
      <w:r>
        <w:rPr>
          <w:rFonts w:ascii="Times New Roman" w:hAnsi="Times New Roman"/>
          <w:b/>
          <w:i w:val="false"/>
          <w:color w:val="000000"/>
          <w:sz w:val="22"/>
        </w:rPr>
        <w:t xml:space="preserve">Discarded CRT management requirements. </w:t>
      </w:r>
      <w:r>
        <w:rPr>
          <w:rFonts w:ascii="Times New Roman" w:hAnsi="Times New Roman"/>
          <w:b w:val="false"/>
          <w:i w:val="false"/>
          <w:color w:val="000000"/>
          <w:sz w:val="22"/>
        </w:rPr>
        <w:t xml:space="preserve">CRT collection facilities and CRT recycling facilities shall manage all discarded CRTs in accordance with </w:t>
      </w:r>
      <w:r>
        <w:rPr>
          <w:rFonts w:ascii="Times New Roman" w:hAnsi="Times New Roman"/>
          <w:b w:val="false"/>
          <w:i w:val="false"/>
          <w:color w:val="000000"/>
          <w:sz w:val="22"/>
        </w:rPr>
        <w:t>40 CFR 261.39</w:t>
      </w:r>
      <w:r>
        <w:rPr>
          <w:rFonts w:ascii="Times New Roman" w:hAnsi="Times New Roman"/>
          <w:b w:val="false"/>
          <w:i w:val="false"/>
          <w:color w:val="000000"/>
          <w:sz w:val="22"/>
        </w:rPr>
        <w:t xml:space="preserve"> and </w:t>
      </w:r>
      <w:r>
        <w:rPr>
          <w:rFonts w:ascii="Times New Roman" w:hAnsi="Times New Roman"/>
          <w:b w:val="false"/>
          <w:i w:val="false"/>
          <w:color w:val="000000"/>
          <w:sz w:val="22"/>
        </w:rPr>
        <w:t>40 CFR 40</w:t>
      </w:r>
      <w:r>
        <w:rPr>
          <w:rFonts w:ascii="Times New Roman" w:hAnsi="Times New Roman"/>
          <w:b w:val="false"/>
          <w:i w:val="false"/>
          <w:color w:val="000000"/>
          <w:sz w:val="22"/>
        </w:rPr>
        <w:t xml:space="preserve"> CFR 260.43.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102.707(1)</w:t>
      </w:r>
      <w:r>
        <w:rPr>
          <w:rFonts w:ascii="Times New Roman" w:hAnsi="Times New Roman"/>
          <w:b w:val="false"/>
          <w:i w:val="false"/>
          <w:color w:val="000000"/>
          <w:sz w:val="22"/>
        </w:rPr>
        <w:t> </w:t>
      </w:r>
      <w:r>
        <w:rPr>
          <w:rFonts w:ascii="Times New Roman" w:hAnsi="Times New Roman"/>
          <w:b w:val="false"/>
          <w:i w:val="false"/>
          <w:color w:val="000000"/>
          <w:sz w:val="22"/>
        </w:rPr>
        <w:t xml:space="preserve">Discarded CRTs and processed CRT glass shall not be speculatively accumulated pursuant to </w:t>
      </w:r>
      <w:r>
        <w:rPr>
          <w:rFonts w:ascii="Times New Roman" w:hAnsi="Times New Roman"/>
          <w:b w:val="false"/>
          <w:i w:val="false"/>
          <w:color w:val="000000"/>
          <w:sz w:val="22"/>
        </w:rPr>
        <w:t>40 CFR 261.1(c)</w:t>
      </w:r>
      <w:r>
        <w:rPr>
          <w:rFonts w:ascii="Times New Roman" w:hAnsi="Times New Roman"/>
          <w:b w:val="false"/>
          <w:i w:val="false"/>
          <w:color w:val="000000"/>
          <w:sz w:val="22"/>
        </w:rPr>
        <w:t>(8).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102.707(2)</w:t>
      </w:r>
      <w:r>
        <w:rPr>
          <w:rFonts w:ascii="Times New Roman" w:hAnsi="Times New Roman"/>
          <w:b w:val="false"/>
          <w:i w:val="false"/>
          <w:color w:val="000000"/>
          <w:sz w:val="22"/>
        </w:rPr>
        <w:t> </w:t>
      </w:r>
      <w:r>
        <w:rPr>
          <w:rFonts w:ascii="Times New Roman" w:hAnsi="Times New Roman"/>
          <w:b w:val="false"/>
          <w:i w:val="false"/>
          <w:color w:val="000000"/>
          <w:sz w:val="22"/>
        </w:rPr>
        <w:t>Broken CRTs and processed CRT glass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container (e.g., a package or a vehicle) that is constructed, filled, and closed to minimize releases to the environment of CRT glass (including fine solid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102.707(3)</w:t>
      </w:r>
      <w:r>
        <w:rPr>
          <w:rFonts w:ascii="Times New Roman" w:hAnsi="Times New Roman"/>
          <w:b w:val="false"/>
          <w:i w:val="false"/>
          <w:color w:val="000000"/>
          <w:sz w:val="22"/>
        </w:rPr>
        <w:t> </w:t>
      </w:r>
      <w:r>
        <w:rPr>
          <w:rFonts w:ascii="Times New Roman" w:hAnsi="Times New Roman"/>
          <w:b w:val="false"/>
          <w:i w:val="false"/>
          <w:color w:val="000000"/>
          <w:sz w:val="22"/>
        </w:rPr>
        <w:t>Intact discarded CRTs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building with a roof, floor, and walls,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secure container (e.g., package or vehicle) that is constructed and maintained to minimize breakage of electronic waste and to prevent releases of hazardous materials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102.707(4)</w:t>
      </w:r>
      <w:r>
        <w:rPr>
          <w:rFonts w:ascii="Times New Roman" w:hAnsi="Times New Roman"/>
          <w:b w:val="false"/>
          <w:i w:val="false"/>
          <w:color w:val="000000"/>
          <w:sz w:val="22"/>
        </w:rPr>
        <w:t> </w:t>
      </w:r>
      <w:r>
        <w:rPr>
          <w:rFonts w:ascii="Times New Roman" w:hAnsi="Times New Roman"/>
          <w:b w:val="false"/>
          <w:i w:val="false"/>
          <w:color w:val="000000"/>
          <w:sz w:val="22"/>
        </w:rPr>
        <w:t>Each container of broken CRTs or CRT glass must be labeled or marked clearly with one of the following phrases: “Used cathode ray tube(s)-contains leaded glass. Do not mix with other glass materials” or “Leaded glass from televisions or computers. Do not mix with other glass materials.” Each container shall also be labeled with the first date that material began to be accumulated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102.707(5)</w:t>
      </w:r>
      <w:r>
        <w:rPr>
          <w:rFonts w:ascii="Times New Roman" w:hAnsi="Times New Roman"/>
          <w:b w:val="false"/>
          <w:i w:val="false"/>
          <w:color w:val="000000"/>
          <w:sz w:val="22"/>
        </w:rPr>
        <w:t> </w:t>
      </w:r>
      <w:r>
        <w:rPr>
          <w:rFonts w:ascii="Times New Roman" w:hAnsi="Times New Roman"/>
          <w:b w:val="false"/>
          <w:i w:val="false"/>
          <w:color w:val="000000"/>
          <w:sz w:val="22"/>
        </w:rPr>
        <w:t>Each container or pallet of intact discarded CRTs shall be labeled with the first date that any material began to accumulate in the container or on the pallet.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102.707(6)</w:t>
      </w:r>
      <w:r>
        <w:rPr>
          <w:rFonts w:ascii="Times New Roman" w:hAnsi="Times New Roman"/>
          <w:b w:val="false"/>
          <w:i w:val="false"/>
          <w:color w:val="000000"/>
          <w:sz w:val="22"/>
        </w:rPr>
        <w:t> </w:t>
      </w:r>
      <w:r>
        <w:rPr>
          <w:rFonts w:ascii="Times New Roman" w:hAnsi="Times New Roman"/>
          <w:b w:val="false"/>
          <w:i w:val="false"/>
          <w:color w:val="000000"/>
          <w:sz w:val="22"/>
        </w:rPr>
        <w:t xml:space="preserve">Broken CRTs must be transported in a container meeting the requirements of </w:t>
      </w:r>
      <w:hyperlink r:id="rId4">
        <w:r>
          <w:rPr>
            <w:rStyle w:val="Hyperlink"/>
            <w:rFonts w:ascii="Times New Roman" w:hAnsi="Times New Roman"/>
            <w:b w:val="false"/>
            <w:i w:val="false"/>
            <w:color w:val="000000"/>
            <w:sz w:val="22"/>
          </w:rPr>
          <w:t>102.707(2)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102.707(7)</w:t>
      </w:r>
      <w:r>
        <w:rPr>
          <w:rFonts w:ascii="Times New Roman" w:hAnsi="Times New Roman"/>
          <w:b w:val="false"/>
          <w:i w:val="false"/>
          <w:color w:val="000000"/>
          <w:sz w:val="22"/>
        </w:rPr>
        <w:t> </w:t>
      </w:r>
      <w:r>
        <w:rPr>
          <w:rFonts w:ascii="Times New Roman" w:hAnsi="Times New Roman"/>
          <w:b w:val="false"/>
          <w:i w:val="false"/>
          <w:color w:val="000000"/>
          <w:sz w:val="22"/>
        </w:rPr>
        <w:t xml:space="preserve">CRT collection facilities or CRT recycling facilities that export broken CRTs shall also comply with </w:t>
      </w:r>
      <w:r>
        <w:rPr>
          <w:rFonts w:ascii="Times New Roman" w:hAnsi="Times New Roman"/>
          <w:b w:val="false"/>
          <w:i w:val="false"/>
          <w:color w:val="000000"/>
          <w:sz w:val="22"/>
        </w:rPr>
        <w:t>40 CFR 261.39(a)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102.707(8)</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processing of CRTs shall be processed according to </w:t>
      </w:r>
      <w:r>
        <w:rPr>
          <w:rFonts w:ascii="Times New Roman" w:hAnsi="Times New Roman"/>
          <w:b w:val="false"/>
          <w:i w:val="false"/>
          <w:color w:val="000000"/>
          <w:sz w:val="22"/>
        </w:rPr>
        <w:t>40 CFR 261.39(b)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102.707(9)</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this rule and the referenced CFR sections is grounds for termination of any permit or registration authorized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70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