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567—102.706</w:t>
      </w:r>
      <w:r>
        <w:rPr>
          <w:rFonts w:ascii="Times New Roman" w:hAnsi="Times New Roman"/>
          <w:b/>
          <w:i w:val="false"/>
          <w:color w:val="000000"/>
          <w:sz w:val="22"/>
        </w:rPr>
        <w:t xml:space="preserve">(455D) </w:t>
      </w:r>
      <w:r>
        <w:rPr>
          <w:rFonts w:ascii="Times New Roman" w:hAnsi="Times New Roman"/>
          <w:b/>
          <w:i w:val="false"/>
          <w:color w:val="000000"/>
          <w:sz w:val="22"/>
        </w:rPr>
        <w:t xml:space="preserve">CRT recycling facility permit application requirements. </w:t>
      </w:r>
      <w:r>
        <w:rPr>
          <w:rFonts w:ascii="Times New Roman" w:hAnsi="Times New Roman"/>
          <w:b w:val="false"/>
          <w:i w:val="false"/>
          <w:color w:val="000000"/>
          <w:sz w:val="22"/>
        </w:rPr>
        <w:t xml:space="preserve">In addition to the requirements in </w:t>
      </w:r>
      <w:hyperlink r:id="rId4">
        <w:r>
          <w:rPr>
            <w:rStyle w:val="Hyperlink"/>
            <w:rFonts w:ascii="Times New Roman" w:hAnsi="Times New Roman"/>
            <w:b w:val="false"/>
            <w:i w:val="false"/>
            <w:color w:val="000000"/>
            <w:sz w:val="22"/>
          </w:rPr>
          <w:t>567—subrule 100.5(1)</w:t>
        </w:r>
      </w:hyperlink>
      <w:r>
        <w:rPr>
          <w:rFonts w:ascii="Times New Roman" w:hAnsi="Times New Roman"/>
          <w:b w:val="false"/>
          <w:i w:val="false"/>
          <w:color w:val="000000"/>
          <w:sz w:val="22"/>
        </w:rPr>
        <w:t>, a CRT recycling facility permit applicant shall submit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102.706(1)</w:t>
      </w:r>
      <w:r>
        <w:rPr>
          <w:rFonts w:ascii="Times New Roman" w:hAnsi="Times New Roman"/>
          <w:b w:val="false"/>
          <w:i w:val="false"/>
          <w:color w:val="000000"/>
          <w:sz w:val="22"/>
        </w:rPr>
        <w:t> </w:t>
      </w:r>
      <w:r>
        <w:rPr>
          <w:rFonts w:ascii="Times New Roman" w:hAnsi="Times New Roman"/>
          <w:b w:val="false"/>
          <w:i w:val="false"/>
          <w:color w:val="000000"/>
          <w:sz w:val="22"/>
        </w:rPr>
        <w:t>The physical location of any collection sites if separate from the main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102.706(2)</w:t>
      </w:r>
      <w:r>
        <w:rPr>
          <w:rFonts w:ascii="Times New Roman" w:hAnsi="Times New Roman"/>
          <w:b w:val="false"/>
          <w:i w:val="false"/>
          <w:color w:val="000000"/>
          <w:sz w:val="22"/>
        </w:rPr>
        <w:t> </w:t>
      </w:r>
      <w:r>
        <w:rPr>
          <w:rFonts w:ascii="Times New Roman" w:hAnsi="Times New Roman"/>
          <w:b w:val="false"/>
          <w:i w:val="false"/>
          <w:color w:val="000000"/>
          <w:sz w:val="22"/>
        </w:rPr>
        <w:t>If the facility is leased, a signed statement from the property owner stating that the property owner is aware that CRT collection or recycling is taking place at the property and that the property owner may be held liable for wastes left at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102.706(3)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facility and the CRT processing that will take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0.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