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567—102.705</w:t>
      </w:r>
      <w:r>
        <w:rPr>
          <w:rFonts w:ascii="Times New Roman" w:hAnsi="Times New Roman"/>
          <w:b/>
          <w:i w:val="false"/>
          <w:color w:val="000000"/>
          <w:sz w:val="22"/>
        </w:rPr>
        <w:t xml:space="preserve">(455D) </w:t>
      </w:r>
      <w:r>
        <w:rPr>
          <w:rFonts w:ascii="Times New Roman" w:hAnsi="Times New Roman"/>
          <w:b/>
          <w:i w:val="false"/>
          <w:color w:val="000000"/>
          <w:sz w:val="22"/>
        </w:rPr>
        <w:t xml:space="preserve">CRT recycling facility permits.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102.705(1)</w:t>
      </w:r>
      <w:r>
        <w:rPr>
          <w:rFonts w:ascii="Times New Roman" w:hAnsi="Times New Roman"/>
          <w:b w:val="false"/>
          <w:i w:val="false"/>
          <w:color w:val="000000"/>
          <w:sz w:val="22"/>
        </w:rPr>
        <w:t> </w:t>
      </w:r>
      <w:r>
        <w:rPr>
          <w:rFonts w:ascii="Times New Roman" w:hAnsi="Times New Roman"/>
          <w:b w:val="false"/>
          <w:i/>
          <w:color w:val="000000"/>
          <w:sz w:val="22"/>
        </w:rPr>
        <w:t xml:space="preserve">Permit required. </w:t>
      </w:r>
      <w:r>
        <w:rPr>
          <w:rFonts w:ascii="Times New Roman" w:hAnsi="Times New Roman"/>
          <w:b w:val="false"/>
          <w:i w:val="false"/>
          <w:color w:val="000000"/>
          <w:sz w:val="22"/>
        </w:rPr>
        <w:t xml:space="preserve">A CRT recycling facility shall not be operated without a solid waste management permit for CRT recycling from the department as per </w:t>
      </w:r>
      <w:hyperlink r:id="rId4">
        <w:r>
          <w:rPr>
            <w:rStyle w:val="Hyperlink"/>
            <w:rFonts w:ascii="Times New Roman" w:hAnsi="Times New Roman"/>
            <w:b w:val="false"/>
            <w:i w:val="false"/>
            <w:color w:val="000000"/>
            <w:sz w:val="22"/>
          </w:rPr>
          <w:t>567—subrule 100.4(2)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102.705(2)</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change in status. </w:t>
      </w:r>
      <w:r>
        <w:rPr>
          <w:rFonts w:ascii="Times New Roman" w:hAnsi="Times New Roman"/>
          <w:b w:val="false"/>
          <w:i w:val="false"/>
          <w:color w:val="000000"/>
          <w:sz w:val="22"/>
        </w:rPr>
        <w:t>CRT recycling facilities must notify the department 30 days prior to any significant change of status of the operation, including any change in the ownership or operation of the facility or location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102.705(3)</w:t>
      </w:r>
      <w:r>
        <w:rPr>
          <w:rFonts w:ascii="Times New Roman" w:hAnsi="Times New Roman"/>
          <w:b w:val="false"/>
          <w:i w:val="false"/>
          <w:color w:val="000000"/>
          <w:sz w:val="22"/>
        </w:rPr>
        <w:t> </w:t>
      </w:r>
      <w:r>
        <w:rPr>
          <w:rFonts w:ascii="Times New Roman" w:hAnsi="Times New Roman"/>
          <w:b w:val="false"/>
          <w:i/>
          <w:color w:val="000000"/>
          <w:sz w:val="22"/>
        </w:rPr>
        <w:t xml:space="preserve">Denial or revocation of permit. </w:t>
      </w:r>
      <w:r>
        <w:rPr>
          <w:rFonts w:ascii="Times New Roman" w:hAnsi="Times New Roman"/>
          <w:b w:val="false"/>
          <w:i w:val="false"/>
          <w:color w:val="000000"/>
          <w:sz w:val="22"/>
        </w:rPr>
        <w:t>The department may deny, revoke, or limit the length of a permit if one or more of the following is determined: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has revoked the applicant’s previous permit under this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There is a violation of a requirement of this division or a condition of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There is a failure to disclose all relevant facts in obtaining a permit under this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There is a misrepresentation made in obtaining a permit under this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There is a misrepresentation in the annual report required in </w:t>
      </w:r>
      <w:hyperlink r:id="rId5">
        <w:r>
          <w:rPr>
            <w:rStyle w:val="Hyperlink"/>
            <w:rFonts w:ascii="Times New Roman" w:hAnsi="Times New Roman"/>
            <w:b w:val="false"/>
            <w:i w:val="false"/>
            <w:color w:val="000000"/>
            <w:sz w:val="22"/>
          </w:rPr>
          <w:t>567—102.710</w:t>
        </w:r>
      </w:hyperlink>
      <w:r>
        <w:rPr>
          <w:rFonts w:ascii="Times New Roman" w:hAnsi="Times New Roman"/>
          <w:b w:val="false"/>
          <w:i w:val="false"/>
          <w:color w:val="000000"/>
          <w:sz w:val="22"/>
        </w:rPr>
        <w:t>(455D).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permittee fails to meet the requirements for a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permittee fails to correct a condition as agreed to in an agreed order with the department or fails to come into compliance with the permit or this division within the time frame established in the agreed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permittee has lost legal entitlement to use the property identified in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Upon notice to the department by the permittee that the permittee no longer wishes to retain the permit for future operation.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102.705(4)</w:t>
      </w:r>
      <w:r>
        <w:rPr>
          <w:rFonts w:ascii="Times New Roman" w:hAnsi="Times New Roman"/>
          <w:b w:val="false"/>
          <w:i w:val="false"/>
          <w:color w:val="000000"/>
          <w:sz w:val="22"/>
        </w:rPr>
        <w:t> </w:t>
      </w:r>
      <w:r>
        <w:rPr>
          <w:rFonts w:ascii="Times New Roman" w:hAnsi="Times New Roman"/>
          <w:b w:val="false"/>
          <w:i/>
          <w:color w:val="000000"/>
          <w:sz w:val="22"/>
        </w:rPr>
        <w:t xml:space="preserve">Permit conditions. </w:t>
      </w:r>
      <w:r>
        <w:rPr>
          <w:rFonts w:ascii="Times New Roman" w:hAnsi="Times New Roman"/>
          <w:b w:val="false"/>
          <w:i w:val="false"/>
          <w:color w:val="000000"/>
          <w:sz w:val="22"/>
        </w:rPr>
        <w:t>The department may place conditions on any permit deemed necessary by the department to ensure compliance with this division and to protect human health and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102.705(5)</w:t>
      </w:r>
      <w:r>
        <w:rPr>
          <w:rFonts w:ascii="Times New Roman" w:hAnsi="Times New Roman"/>
          <w:b w:val="false"/>
          <w:i w:val="false"/>
          <w:color w:val="000000"/>
          <w:sz w:val="22"/>
        </w:rPr>
        <w:t> </w:t>
      </w:r>
      <w:r>
        <w:rPr>
          <w:rFonts w:ascii="Times New Roman" w:hAnsi="Times New Roman"/>
          <w:b w:val="false"/>
          <w:i/>
          <w:color w:val="000000"/>
          <w:sz w:val="22"/>
        </w:rPr>
        <w:t xml:space="preserve">Effect of revocation. </w:t>
      </w:r>
      <w:r>
        <w:rPr>
          <w:rFonts w:ascii="Times New Roman" w:hAnsi="Times New Roman"/>
          <w:b w:val="false"/>
          <w:i w:val="false"/>
          <w:color w:val="000000"/>
          <w:sz w:val="22"/>
        </w:rPr>
        <w:t>If a permit held by any public or private agency is revoked by the director, then no new permit shall be issued to that agency for that CRT recycling facility for a period of one year from the date of revocation. Such revocation shall not prohibit the issuance of a permit for the facility to another public or private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102.705(6)</w:t>
      </w:r>
      <w:r>
        <w:rPr>
          <w:rFonts w:ascii="Times New Roman" w:hAnsi="Times New Roman"/>
          <w:b w:val="false"/>
          <w:i w:val="false"/>
          <w:color w:val="000000"/>
          <w:sz w:val="22"/>
        </w:rPr>
        <w:t> </w:t>
      </w:r>
      <w:r>
        <w:rPr>
          <w:rFonts w:ascii="Times New Roman" w:hAnsi="Times New Roman"/>
          <w:b w:val="false"/>
          <w:i/>
          <w:color w:val="000000"/>
          <w:sz w:val="22"/>
        </w:rPr>
        <w:t xml:space="preserve">Permits without expiration date. </w:t>
      </w:r>
      <w:r>
        <w:rPr>
          <w:rFonts w:ascii="Times New Roman" w:hAnsi="Times New Roman"/>
          <w:b w:val="false"/>
          <w:i w:val="false"/>
          <w:color w:val="000000"/>
          <w:sz w:val="22"/>
        </w:rPr>
        <w:t xml:space="preserve">CRT recycling permits that were issued prior to September 23, 2026, that do not have an expiration date will expire September 23, 2031. The permit holder shall file an application for renewal as per </w:t>
      </w:r>
      <w:hyperlink r:id="rId6">
        <w:r>
          <w:rPr>
            <w:rStyle w:val="Hyperlink"/>
            <w:rFonts w:ascii="Times New Roman" w:hAnsi="Times New Roman"/>
            <w:b w:val="false"/>
            <w:i w:val="false"/>
            <w:color w:val="000000"/>
            <w:sz w:val="22"/>
          </w:rPr>
          <w:t>567—paragraph 100.4(2)</w:t>
        </w:r>
      </w:hyperlink>
      <w:r>
        <w:rPr>
          <w:rFonts w:ascii="Times New Roman" w:hAnsi="Times New Roman"/>
          <w:b w:val="false"/>
          <w:i/>
          <w:color w:val="000000"/>
          <w:sz w:val="22"/>
        </w:rPr>
        <w:t>“a.”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567.100.4.pdf" Type="http://schemas.openxmlformats.org/officeDocument/2006/relationships/hyperlink" Id="rId4"/>
    <Relationship TargetMode="External" Target="https://www.legis.iowa.gov/docs/iac/rule/567.102.710.pdf" Type="http://schemas.openxmlformats.org/officeDocument/2006/relationships/hyperlink" Id="rId5"/>
    <Relationship TargetMode="External" Target="https://www.legis.iowa.gov/docs/iac/rule/567.100.4.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